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bCs/>
          <w:sz w:val="44"/>
          <w:szCs w:val="44"/>
          <w:lang w:val="en-US" w:eastAsia="zh-CN"/>
        </w:rPr>
        <w:t>第十采油厂乔河采油作业区及柔远采油作业区环境隐患治理项目竣工环境保护验收意见</w:t>
      </w:r>
    </w:p>
    <w:p>
      <w:pPr>
        <w:keepNext w:val="0"/>
        <w:keepLines w:val="0"/>
        <w:pageBreakBefore w:val="0"/>
        <w:kinsoku/>
        <w:wordWrap/>
        <w:overflowPunct/>
        <w:topLinePunct w:val="0"/>
        <w:autoSpaceDE/>
        <w:autoSpaceDN/>
        <w:bidi w:val="0"/>
        <w:adjustRightInd/>
        <w:snapToGrid w:val="0"/>
        <w:spacing w:line="560" w:lineRule="exact"/>
        <w:ind w:firstLine="520" w:firstLineChars="200"/>
        <w:textAlignment w:val="auto"/>
        <w:rPr>
          <w:rFonts w:ascii="Times New Roman" w:hAnsi="Times New Roman" w:cs="Times New Roman"/>
          <w:spacing w:val="10"/>
          <w:sz w:val="24"/>
        </w:rPr>
      </w:pPr>
    </w:p>
    <w:p>
      <w:pPr>
        <w:keepNext w:val="0"/>
        <w:keepLines w:val="0"/>
        <w:pageBreakBefore w:val="0"/>
        <w:kinsoku/>
        <w:wordWrap/>
        <w:overflowPunct/>
        <w:topLinePunct w:val="0"/>
        <w:autoSpaceDE/>
        <w:autoSpaceDN/>
        <w:bidi w:val="0"/>
        <w:adjustRightInd/>
        <w:snapToGrid w:val="0"/>
        <w:spacing w:line="560" w:lineRule="exact"/>
        <w:ind w:firstLine="680" w:firstLineChars="200"/>
        <w:textAlignment w:val="auto"/>
        <w:rPr>
          <w:rFonts w:hint="eastAsia" w:ascii="方正仿宋简体" w:hAnsi="方正仿宋简体" w:eastAsia="方正仿宋简体" w:cs="方正仿宋简体"/>
          <w:b/>
          <w:sz w:val="32"/>
          <w:szCs w:val="32"/>
        </w:rPr>
      </w:pPr>
      <w:r>
        <w:rPr>
          <w:rFonts w:hint="eastAsia" w:ascii="方正仿宋简体" w:hAnsi="方正仿宋简体" w:eastAsia="方正仿宋简体" w:cs="方正仿宋简体"/>
          <w:spacing w:val="10"/>
          <w:sz w:val="32"/>
          <w:szCs w:val="32"/>
        </w:rPr>
        <w:t>2023年</w:t>
      </w:r>
      <w:r>
        <w:rPr>
          <w:rFonts w:hint="eastAsia" w:ascii="方正仿宋简体" w:hAnsi="方正仿宋简体" w:eastAsia="方正仿宋简体" w:cs="方正仿宋简体"/>
          <w:spacing w:val="10"/>
          <w:sz w:val="32"/>
          <w:szCs w:val="32"/>
          <w:lang w:val="en-US" w:eastAsia="zh-CN"/>
        </w:rPr>
        <w:t>3</w:t>
      </w:r>
      <w:r>
        <w:rPr>
          <w:rFonts w:hint="eastAsia" w:ascii="方正仿宋简体" w:hAnsi="方正仿宋简体" w:eastAsia="方正仿宋简体" w:cs="方正仿宋简体"/>
          <w:spacing w:val="10"/>
          <w:sz w:val="32"/>
          <w:szCs w:val="32"/>
        </w:rPr>
        <w:t>月</w:t>
      </w:r>
      <w:r>
        <w:rPr>
          <w:rFonts w:hint="eastAsia" w:ascii="方正仿宋简体" w:hAnsi="方正仿宋简体" w:eastAsia="方正仿宋简体" w:cs="方正仿宋简体"/>
          <w:spacing w:val="10"/>
          <w:sz w:val="32"/>
          <w:szCs w:val="32"/>
          <w:lang w:val="en-US" w:eastAsia="zh-CN"/>
        </w:rPr>
        <w:t>10</w:t>
      </w:r>
      <w:r>
        <w:rPr>
          <w:rFonts w:hint="eastAsia" w:ascii="方正仿宋简体" w:hAnsi="方正仿宋简体" w:eastAsia="方正仿宋简体" w:cs="方正仿宋简体"/>
          <w:spacing w:val="10"/>
          <w:sz w:val="32"/>
          <w:szCs w:val="32"/>
        </w:rPr>
        <w:t>日，长庆油田分公司第十采油厂根据《乔河采油作业区及柔远采油作业区环境隐患治理项目竣工环境保护验收调查表》</w:t>
      </w:r>
      <w:r>
        <w:rPr>
          <w:rFonts w:hint="eastAsia" w:ascii="方正仿宋简体" w:hAnsi="方正仿宋简体" w:eastAsia="方正仿宋简体" w:cs="方正仿宋简体"/>
          <w:sz w:val="32"/>
          <w:szCs w:val="32"/>
        </w:rPr>
        <w:t>，并对照《建设项目竣工环境保护验收暂行办法》，严格依照国家有关法律法规、建设</w:t>
      </w:r>
      <w:bookmarkStart w:id="3" w:name="_GoBack"/>
      <w:bookmarkEnd w:id="3"/>
      <w:r>
        <w:rPr>
          <w:rFonts w:hint="eastAsia" w:ascii="方正仿宋简体" w:hAnsi="方正仿宋简体" w:eastAsia="方正仿宋简体" w:cs="方正仿宋简体"/>
          <w:sz w:val="32"/>
          <w:szCs w:val="32"/>
        </w:rPr>
        <w:t>项目竣工环境保护验收技术规范、本项目环境影响评价报告表和审批部门审批决定等要求对本项目进行验收。形成如下验收意见：</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黑体简体" w:hAnsi="方正黑体简体" w:eastAsia="方正黑体简体" w:cs="方正黑体简体"/>
          <w:b w:val="0"/>
          <w:bCs/>
          <w:sz w:val="32"/>
          <w:szCs w:val="32"/>
        </w:rPr>
      </w:pPr>
      <w:r>
        <w:rPr>
          <w:rFonts w:hint="eastAsia" w:ascii="方正黑体简体" w:hAnsi="方正黑体简体" w:eastAsia="方正黑体简体" w:cs="方正黑体简体"/>
          <w:b w:val="0"/>
          <w:bCs/>
          <w:sz w:val="32"/>
          <w:szCs w:val="32"/>
        </w:rPr>
        <w:t>一、工程建设基本情况</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（一）建设地点、规模、主要建设内容</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highlight w:val="yellow"/>
          <w:lang w:val="zh-CN"/>
        </w:rPr>
      </w:pPr>
      <w:r>
        <w:rPr>
          <w:rFonts w:hint="eastAsia" w:ascii="方正仿宋简体" w:hAnsi="方正仿宋简体" w:eastAsia="方正仿宋简体" w:cs="方正仿宋简体"/>
          <w:sz w:val="32"/>
          <w:szCs w:val="32"/>
        </w:rPr>
        <w:t>项目位于华池县乔河作业区山138井场和柔远作业区午139井场。乔河作业区山138井场新建1座300m</w:t>
      </w:r>
      <w:r>
        <w:rPr>
          <w:rFonts w:hint="eastAsia" w:ascii="方正仿宋简体" w:hAnsi="方正仿宋简体" w:eastAsia="方正仿宋简体" w:cs="方正仿宋简体"/>
          <w:sz w:val="32"/>
          <w:szCs w:val="32"/>
          <w:vertAlign w:val="superscript"/>
        </w:rPr>
        <w:t>3</w:t>
      </w:r>
      <w:r>
        <w:rPr>
          <w:rFonts w:hint="eastAsia" w:ascii="方正仿宋简体" w:hAnsi="方正仿宋简体" w:eastAsia="方正仿宋简体" w:cs="方正仿宋简体"/>
          <w:sz w:val="32"/>
          <w:szCs w:val="32"/>
        </w:rPr>
        <w:t>油泥暂存点，占地面积270m</w:t>
      </w:r>
      <w:r>
        <w:rPr>
          <w:rFonts w:hint="eastAsia" w:ascii="方正仿宋简体" w:hAnsi="方正仿宋简体" w:eastAsia="方正仿宋简体" w:cs="方正仿宋简体"/>
          <w:sz w:val="32"/>
          <w:szCs w:val="32"/>
          <w:vertAlign w:val="superscript"/>
        </w:rPr>
        <w:t>2</w:t>
      </w:r>
      <w:r>
        <w:rPr>
          <w:rFonts w:hint="eastAsia" w:ascii="方正仿宋简体" w:hAnsi="方正仿宋简体" w:eastAsia="方正仿宋简体" w:cs="方正仿宋简体"/>
          <w:sz w:val="32"/>
          <w:szCs w:val="32"/>
        </w:rPr>
        <w:t>；在柔远作业区新建1座150m</w:t>
      </w:r>
      <w:r>
        <w:rPr>
          <w:rFonts w:hint="eastAsia" w:ascii="方正仿宋简体" w:hAnsi="方正仿宋简体" w:eastAsia="方正仿宋简体" w:cs="方正仿宋简体"/>
          <w:sz w:val="32"/>
          <w:szCs w:val="32"/>
          <w:vertAlign w:val="superscript"/>
        </w:rPr>
        <w:t>3</w:t>
      </w:r>
      <w:r>
        <w:rPr>
          <w:rFonts w:hint="eastAsia" w:ascii="方正仿宋简体" w:hAnsi="方正仿宋简体" w:eastAsia="方正仿宋简体" w:cs="方正仿宋简体"/>
          <w:sz w:val="32"/>
          <w:szCs w:val="32"/>
        </w:rPr>
        <w:t>油泥暂存点，占地面积144m</w:t>
      </w:r>
      <w:r>
        <w:rPr>
          <w:rFonts w:hint="eastAsia" w:ascii="方正仿宋简体" w:hAnsi="方正仿宋简体" w:eastAsia="方正仿宋简体" w:cs="方正仿宋简体"/>
          <w:sz w:val="32"/>
          <w:szCs w:val="32"/>
          <w:vertAlign w:val="superscript"/>
        </w:rPr>
        <w:t>2</w:t>
      </w:r>
      <w:r>
        <w:rPr>
          <w:rFonts w:hint="eastAsia" w:ascii="方正仿宋简体" w:hAnsi="方正仿宋简体" w:eastAsia="方正仿宋简体" w:cs="方正仿宋简体"/>
          <w:kern w:val="0"/>
          <w:sz w:val="32"/>
          <w:szCs w:val="32"/>
          <w:lang w:val="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（二）建设过程及环保审批情况</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2021年7月15日，第十采油厂委托甘肃新康环保产业监测服务有限公司承担该项目环境评价工作，2021年9月2日庆阳市生态环境局以庆环规划发[2022]2号文《关于</w:t>
      </w:r>
      <w:r>
        <w:rPr>
          <w:rFonts w:hint="eastAsia" w:ascii="方正仿宋简体" w:hAnsi="方正仿宋简体" w:eastAsia="方正仿宋简体" w:cs="方正仿宋简体"/>
          <w:spacing w:val="10"/>
          <w:sz w:val="32"/>
          <w:szCs w:val="32"/>
        </w:rPr>
        <w:t>第十采油厂乔河采油作业区及柔远采油作业区环境隐患治理项目</w:t>
      </w:r>
      <w:r>
        <w:rPr>
          <w:rFonts w:hint="eastAsia" w:ascii="方正仿宋简体" w:hAnsi="方正仿宋简体" w:eastAsia="方正仿宋简体" w:cs="方正仿宋简体"/>
          <w:sz w:val="32"/>
          <w:szCs w:val="32"/>
        </w:rPr>
        <w:t>的批复》对该项目环评报告书予以批复。</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（三）投资情况</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项目计划总投资约150.82万元，其中环保投资23.9万元，占总投资的15.84%。实际总投资145元，环保投资为22.4万元，占总投资的15.44%。</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（四）验收范围</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本次验收范围为第十采油厂乔河采油作业区危废暂存点及柔远采油作业区</w:t>
      </w:r>
      <w:r>
        <w:rPr>
          <w:rFonts w:hint="eastAsia" w:ascii="方正仿宋简体" w:hAnsi="方正仿宋简体" w:eastAsia="方正仿宋简体" w:cs="方正仿宋简体"/>
          <w:sz w:val="32"/>
          <w:szCs w:val="32"/>
          <w:lang w:val="en-US" w:eastAsia="zh-CN"/>
        </w:rPr>
        <w:t>油泥临时储存点</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验收范围与环评一致。</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黑体简体" w:hAnsi="方正黑体简体" w:eastAsia="方正黑体简体" w:cs="方正黑体简体"/>
          <w:b w:val="0"/>
          <w:bCs/>
          <w:sz w:val="32"/>
          <w:szCs w:val="32"/>
        </w:rPr>
      </w:pPr>
      <w:r>
        <w:rPr>
          <w:rFonts w:hint="eastAsia" w:ascii="方正黑体简体" w:hAnsi="方正黑体简体" w:eastAsia="方正黑体简体" w:cs="方正黑体简体"/>
          <w:b w:val="0"/>
          <w:bCs/>
          <w:sz w:val="32"/>
          <w:szCs w:val="32"/>
        </w:rPr>
        <w:t>二、工程变动情况</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经现场调查，项目工程内容与环评一致，无变动。</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黑体简体" w:hAnsi="方正黑体简体" w:eastAsia="方正黑体简体" w:cs="方正黑体简体"/>
          <w:b w:val="0"/>
          <w:bCs/>
          <w:sz w:val="32"/>
          <w:szCs w:val="32"/>
        </w:rPr>
      </w:pPr>
      <w:r>
        <w:rPr>
          <w:rFonts w:hint="eastAsia" w:ascii="方正黑体简体" w:hAnsi="方正黑体简体" w:eastAsia="方正黑体简体" w:cs="方正黑体简体"/>
          <w:b w:val="0"/>
          <w:bCs/>
          <w:sz w:val="32"/>
          <w:szCs w:val="32"/>
        </w:rPr>
        <w:t>三、环境保护设施建设情况</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（一）废气</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油泥由三层覆膜塑料包装袋+蛇皮袋密封后集中堆放在污油泥贮存间，减少非甲烷总烃的排放；采取的大气污染防治设施有效，污染防治措施可行，对周围环境影响较小。</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（二）废水</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正常情况油泥堆场无废水产生。本项目两座暂存分别设置了0.7 m渗滤液收集池对非正常情况下的渗滤液进行收集。</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（三）噪声</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本项目运营期噪声污染源主要来自装卸过程中车辆进出和人工装卸噪声，通过合理安排含油污泥转运时间减少噪声污染。</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（四）固体废物</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本项目暂存的含油污泥属于危险废物，需按照《危险废物贮存污染防治控制标准》（GB18597-2001）中相关要求进行收集、运输、暂存、处置。</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（五）地下水</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rPr>
        <w:t>本项目依据《危险废物贮存控制标准》要求对收集池底部及裙角进行了硬化和防渗处理。防渗结构从下到上分别为： 素土夯实+非织造长丝无纺土工布（规格不小于600g/平方米）+2.0厚高密度聚乙烯（HDPE）防渗膜+非织造无纺土工布（规格不小于600g/平方米）+220mmC30抗渗细石混凝土找坡层抹平（抗渗等级P6）+40mmC25细石混凝土</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黑体简体" w:hAnsi="方正黑体简体" w:eastAsia="方正黑体简体" w:cs="方正黑体简体"/>
          <w:b w:val="0"/>
          <w:bCs/>
          <w:sz w:val="32"/>
          <w:szCs w:val="32"/>
        </w:rPr>
      </w:pPr>
      <w:r>
        <w:rPr>
          <w:rFonts w:hint="eastAsia" w:ascii="方正黑体简体" w:hAnsi="方正黑体简体" w:eastAsia="方正黑体简体" w:cs="方正黑体简体"/>
          <w:b w:val="0"/>
          <w:bCs/>
          <w:sz w:val="32"/>
          <w:szCs w:val="32"/>
        </w:rPr>
        <w:t>四、环境保护设施调试效果</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（一）污染物达标排放情况</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rPr>
        <w:t>无组织废气</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2023年2月1日-2月2日委托有资质单位对该项目无组织废气进行了监测，经检测，各场站无组织废气（非甲烷总烃）排放浓度满足《大气污染物综合排放标准》（GB16297-1996)中4.0mg/m</w:t>
      </w:r>
      <w:r>
        <w:rPr>
          <w:rFonts w:hint="eastAsia" w:ascii="方正仿宋简体" w:hAnsi="方正仿宋简体" w:eastAsia="方正仿宋简体" w:cs="方正仿宋简体"/>
          <w:sz w:val="32"/>
          <w:szCs w:val="32"/>
          <w:vertAlign w:val="superscript"/>
        </w:rPr>
        <w:t>3</w:t>
      </w:r>
      <w:r>
        <w:rPr>
          <w:rFonts w:hint="eastAsia" w:ascii="方正仿宋简体" w:hAnsi="方正仿宋简体" w:eastAsia="方正仿宋简体" w:cs="方正仿宋简体"/>
          <w:sz w:val="32"/>
          <w:szCs w:val="32"/>
        </w:rPr>
        <w:t>标准限值要求。</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黑体简体" w:hAnsi="方正黑体简体" w:eastAsia="方正黑体简体" w:cs="方正黑体简体"/>
          <w:b w:val="0"/>
          <w:bCs/>
          <w:sz w:val="32"/>
          <w:szCs w:val="32"/>
        </w:rPr>
      </w:pPr>
      <w:r>
        <w:rPr>
          <w:rFonts w:hint="eastAsia" w:ascii="方正黑体简体" w:hAnsi="方正黑体简体" w:eastAsia="方正黑体简体" w:cs="方正黑体简体"/>
          <w:b w:val="0"/>
          <w:bCs/>
          <w:sz w:val="32"/>
          <w:szCs w:val="32"/>
        </w:rPr>
        <w:t>五、验收结论</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bookmarkStart w:id="0" w:name="_Hlk25496369"/>
      <w:r>
        <w:rPr>
          <w:rFonts w:hint="eastAsia" w:ascii="方正仿宋简体" w:hAnsi="方正仿宋简体" w:eastAsia="方正仿宋简体" w:cs="方正仿宋简体"/>
          <w:sz w:val="32"/>
          <w:szCs w:val="32"/>
        </w:rPr>
        <w:t>本项目不存在重大变动，项目建设和调试过程中，严格落实了环境影响评价制度和环保“三同时”制度，按照环评文件及批复要求落实了污染治理措施、生态保护措施和环境风险防范措施，污染物达标排放，符合验收条件，验收合格。</w:t>
      </w:r>
    </w:p>
    <w:bookmarkEnd w:id="0"/>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黑体简体" w:hAnsi="方正黑体简体" w:eastAsia="方正黑体简体" w:cs="方正黑体简体"/>
          <w:b w:val="0"/>
          <w:bCs/>
          <w:sz w:val="32"/>
          <w:szCs w:val="32"/>
        </w:rPr>
      </w:pPr>
      <w:r>
        <w:rPr>
          <w:rFonts w:hint="eastAsia" w:ascii="方正黑体简体" w:hAnsi="方正黑体简体" w:eastAsia="方正黑体简体" w:cs="方正黑体简体"/>
          <w:b w:val="0"/>
          <w:bCs/>
          <w:sz w:val="32"/>
          <w:szCs w:val="32"/>
        </w:rPr>
        <w:t>六、要求及建议</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bookmarkStart w:id="1" w:name="_Hlk65933692"/>
      <w:bookmarkStart w:id="2" w:name="_Hlk101532342"/>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rPr>
        <w:t>按照环评要求落实运营期环境地下水监控计划。</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w:t>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rPr>
        <w:t>加强危废转运台账管理。</w:t>
      </w:r>
    </w:p>
    <w:bookmarkEnd w:id="1"/>
    <w:bookmarkEnd w:id="2"/>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黑体简体" w:hAnsi="方正黑体简体" w:eastAsia="方正黑体简体" w:cs="方正黑体简体"/>
          <w:b w:val="0"/>
          <w:bCs/>
          <w:sz w:val="32"/>
          <w:szCs w:val="32"/>
        </w:rPr>
      </w:pPr>
      <w:r>
        <w:rPr>
          <w:rFonts w:hint="eastAsia" w:ascii="方正黑体简体" w:hAnsi="方正黑体简体" w:eastAsia="方正黑体简体" w:cs="方正黑体简体"/>
          <w:b w:val="0"/>
          <w:bCs/>
          <w:sz w:val="32"/>
          <w:szCs w:val="32"/>
          <w:lang w:eastAsia="zh-CN"/>
        </w:rPr>
        <w:t>七</w:t>
      </w:r>
      <w:r>
        <w:rPr>
          <w:rFonts w:hint="eastAsia" w:ascii="方正黑体简体" w:hAnsi="方正黑体简体" w:eastAsia="方正黑体简体" w:cs="方正黑体简体"/>
          <w:b w:val="0"/>
          <w:bCs/>
          <w:sz w:val="32"/>
          <w:szCs w:val="32"/>
        </w:rPr>
        <w:t>、验收人员信息</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验收人员信息见附件《第十采油厂乔河采油作业区及柔远采油作业区环境隐患治理项目竣工环保验收人员签字表》。</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简体" w:hAnsi="方正仿宋简体" w:eastAsia="方正仿宋简体" w:cs="方正仿宋简体"/>
          <w:sz w:val="32"/>
          <w:szCs w:val="32"/>
        </w:rPr>
      </w:pPr>
    </w:p>
    <w:p>
      <w:pPr>
        <w:keepNext w:val="0"/>
        <w:keepLines w:val="0"/>
        <w:pageBreakBefore w:val="0"/>
        <w:kinsoku/>
        <w:wordWrap/>
        <w:overflowPunct/>
        <w:topLinePunct w:val="0"/>
        <w:autoSpaceDE/>
        <w:autoSpaceDN/>
        <w:bidi w:val="0"/>
        <w:adjustRightInd/>
        <w:snapToGrid w:val="0"/>
        <w:spacing w:line="560" w:lineRule="exact"/>
        <w:ind w:firstLine="640" w:firstLineChars="200"/>
        <w:jc w:val="center"/>
        <w:textAlignment w:val="auto"/>
        <w:rPr>
          <w:rFonts w:hint="eastAsia" w:ascii="方正仿宋简体" w:hAnsi="方正仿宋简体" w:eastAsia="方正仿宋简体" w:cs="方正仿宋简体"/>
          <w:sz w:val="32"/>
          <w:szCs w:val="32"/>
        </w:rPr>
      </w:pPr>
    </w:p>
    <w:p>
      <w:pPr>
        <w:keepNext w:val="0"/>
        <w:keepLines w:val="0"/>
        <w:pageBreakBefore w:val="0"/>
        <w:kinsoku/>
        <w:wordWrap/>
        <w:overflowPunct/>
        <w:topLinePunct w:val="0"/>
        <w:autoSpaceDE/>
        <w:autoSpaceDN/>
        <w:bidi w:val="0"/>
        <w:adjustRightInd/>
        <w:snapToGrid w:val="0"/>
        <w:spacing w:line="560" w:lineRule="exact"/>
        <w:ind w:firstLine="640" w:firstLineChars="200"/>
        <w:jc w:val="right"/>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line="560" w:lineRule="exact"/>
        <w:ind w:firstLine="640" w:firstLineChars="200"/>
        <w:jc w:val="right"/>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kinsoku/>
        <w:wordWrap/>
        <w:overflowPunct/>
        <w:topLinePunct w:val="0"/>
        <w:autoSpaceDE/>
        <w:autoSpaceDN/>
        <w:bidi w:val="0"/>
        <w:adjustRightInd/>
        <w:snapToGrid w:val="0"/>
        <w:spacing w:line="560" w:lineRule="exact"/>
        <w:ind w:firstLine="640" w:firstLineChars="200"/>
        <w:jc w:val="right"/>
        <w:textAlignment w:val="auto"/>
        <w:rPr>
          <w:rFonts w:hint="eastAsia" w:ascii="方正仿宋简体" w:hAnsi="方正仿宋简体" w:eastAsia="方正仿宋简体" w:cs="方正仿宋简体"/>
          <w:sz w:val="32"/>
          <w:szCs w:val="32"/>
        </w:rPr>
      </w:pPr>
    </w:p>
    <w:p>
      <w:pPr>
        <w:keepNext w:val="0"/>
        <w:keepLines w:val="0"/>
        <w:pageBreakBefore w:val="0"/>
        <w:kinsoku/>
        <w:wordWrap/>
        <w:overflowPunct/>
        <w:topLinePunct w:val="0"/>
        <w:autoSpaceDE/>
        <w:autoSpaceDN/>
        <w:bidi w:val="0"/>
        <w:adjustRightInd/>
        <w:snapToGrid w:val="0"/>
        <w:spacing w:line="560" w:lineRule="exact"/>
        <w:ind w:firstLine="640" w:firstLineChars="200"/>
        <w:jc w:val="right"/>
        <w:textAlignment w:val="auto"/>
        <w:rPr>
          <w:rFonts w:ascii="Times New Roman" w:hAnsi="Times New Roman" w:eastAsia="Times New Roman" w:cs="Times New Roman"/>
          <w:snapToGrid w:val="0"/>
          <w:color w:val="000000"/>
          <w:w w:val="0"/>
          <w:kern w:val="0"/>
          <w:sz w:val="0"/>
          <w:szCs w:val="0"/>
          <w:u w:color="000000"/>
          <w:shd w:val="clear" w:color="000000" w:fill="000000"/>
          <w:lang w:val="zh-CN" w:eastAsia="zh-CN" w:bidi="zh-CN"/>
        </w:rPr>
      </w:pPr>
      <w:r>
        <w:rPr>
          <w:rFonts w:hint="eastAsia" w:ascii="方正仿宋简体" w:hAnsi="方正仿宋简体" w:eastAsia="方正仿宋简体" w:cs="方正仿宋简体"/>
          <w:sz w:val="32"/>
          <w:szCs w:val="32"/>
        </w:rPr>
        <w:t xml:space="preserve"> </w:t>
      </w:r>
    </w:p>
    <w:p>
      <w:pPr>
        <w:keepNext w:val="0"/>
        <w:keepLines w:val="0"/>
        <w:pageBreakBefore w:val="0"/>
        <w:widowControl/>
        <w:kinsoku/>
        <w:wordWrap/>
        <w:overflowPunct/>
        <w:topLinePunct w:val="0"/>
        <w:autoSpaceDE/>
        <w:autoSpaceDN/>
        <w:bidi w:val="0"/>
        <w:adjustRightInd/>
        <w:snapToGrid w:val="0"/>
        <w:spacing w:line="560" w:lineRule="exact"/>
        <w:jc w:val="left"/>
        <w:textAlignment w:val="auto"/>
        <w:rPr>
          <w:rFonts w:ascii="Times New Roman" w:hAnsi="Times New Roman" w:eastAsia="Times New Roman" w:cs="Times New Roman"/>
          <w:snapToGrid w:val="0"/>
          <w:color w:val="000000"/>
          <w:w w:val="0"/>
          <w:kern w:val="0"/>
          <w:sz w:val="0"/>
          <w:szCs w:val="0"/>
          <w:u w:color="000000"/>
          <w:shd w:val="clear" w:color="000000" w:fill="000000"/>
          <w:lang w:val="zh-CN" w:eastAsia="zh-CN" w:bidi="zh-CN"/>
        </w:rPr>
      </w:pPr>
      <w:r>
        <w:rPr>
          <w:rFonts w:ascii="Times New Roman" w:hAnsi="Times New Roman" w:eastAsia="Times New Roman" w:cs="Times New Roman"/>
          <w:snapToGrid w:val="0"/>
          <w:color w:val="000000"/>
          <w:w w:val="0"/>
          <w:kern w:val="0"/>
          <w:sz w:val="0"/>
          <w:szCs w:val="0"/>
          <w:u w:color="000000"/>
          <w:shd w:val="clear" w:color="000000" w:fill="000000"/>
          <w:lang w:val="zh-CN" w:eastAsia="zh-CN" w:bidi="zh-CN"/>
        </w:rPr>
        <w:br w:type="page"/>
      </w:r>
    </w:p>
    <w:p>
      <w:pPr>
        <w:keepNext w:val="0"/>
        <w:keepLines w:val="0"/>
        <w:pageBreakBefore w:val="0"/>
        <w:widowControl/>
        <w:kinsoku/>
        <w:wordWrap/>
        <w:overflowPunct/>
        <w:topLinePunct w:val="0"/>
        <w:autoSpaceDE/>
        <w:autoSpaceDN/>
        <w:bidi w:val="0"/>
        <w:adjustRightInd/>
        <w:snapToGrid w:val="0"/>
        <w:spacing w:line="560" w:lineRule="exact"/>
        <w:jc w:val="left"/>
        <w:textAlignment w:val="auto"/>
        <w:rPr>
          <w:sz w:val="24"/>
          <w:szCs w:val="24"/>
        </w:rPr>
      </w:pPr>
      <w:r>
        <w:rPr>
          <w:sz w:val="24"/>
          <w:szCs w:val="24"/>
        </w:rPr>
        <w:drawing>
          <wp:anchor distT="0" distB="0" distL="114300" distR="114300" simplePos="0" relativeHeight="251658240" behindDoc="0" locked="0" layoutInCell="1" allowOverlap="1">
            <wp:simplePos x="0" y="0"/>
            <wp:positionH relativeFrom="column">
              <wp:posOffset>-1118235</wp:posOffset>
            </wp:positionH>
            <wp:positionV relativeFrom="paragraph">
              <wp:posOffset>-899160</wp:posOffset>
            </wp:positionV>
            <wp:extent cx="7505700" cy="10658475"/>
            <wp:effectExtent l="0" t="0" r="0"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rot="10800000">
                      <a:off x="0" y="0"/>
                      <a:ext cx="7513948" cy="10670240"/>
                    </a:xfrm>
                    <a:prstGeom prst="rect">
                      <a:avLst/>
                    </a:prstGeom>
                    <a:noFill/>
                    <a:ln>
                      <a:noFill/>
                    </a:ln>
                  </pic:spPr>
                </pic:pic>
              </a:graphicData>
            </a:graphic>
          </wp:anchor>
        </w:drawing>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萀">
    <w:altName w:val="宋体"/>
    <w:panose1 w:val="00000000000000000000"/>
    <w:charset w:val="86"/>
    <w:family w:val="roman"/>
    <w:pitch w:val="default"/>
    <w:sig w:usb0="00000000" w:usb1="00000000" w:usb2="00000010" w:usb3="00000000" w:csb0="00040000" w:csb1="00000000"/>
  </w:font>
  <w:font w:name="方正黑体简体">
    <w:panose1 w:val="02000000000000000000"/>
    <w:charset w:val="86"/>
    <w:family w:val="auto"/>
    <w:pitch w:val="default"/>
    <w:sig w:usb0="A00002BF" w:usb1="184F6CFA" w:usb2="00000012" w:usb3="00000000" w:csb0="00040001" w:csb1="00000000"/>
  </w:font>
  <w:font w:name="方正仿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auto"/>
    <w:pitch w:val="default"/>
    <w:sig w:usb0="00000001" w:usb1="080E0000" w:usb2="00000000" w:usb3="00000000" w:csb0="00040000" w:csb1="00000000"/>
  </w:font>
  <w:font w:name="Microsoft JhengHei UI Light">
    <w:panose1 w:val="020B0304030504040204"/>
    <w:charset w:val="88"/>
    <w:family w:val="auto"/>
    <w:pitch w:val="default"/>
    <w:sig w:usb0="800002A7" w:usb1="28CF4400" w:usb2="00000016" w:usb3="00000000" w:csb0="00100009" w:csb1="00000000"/>
  </w:font>
  <w:font w:name="Bodoni MT Condensed">
    <w:panose1 w:val="02070606080606020203"/>
    <w:charset w:val="00"/>
    <w:family w:val="auto"/>
    <w:pitch w:val="default"/>
    <w:sig w:usb0="00000003" w:usb1="00000000" w:usb2="00000000" w:usb3="00000000" w:csb0="20000001" w:csb1="00000000"/>
  </w:font>
  <w:font w:name="方正小标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书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A00002BF" w:usb1="38CF7CFA" w:usb2="00082016" w:usb3="00000000" w:csb0="00040001" w:csb1="00000000"/>
  </w:font>
  <w:font w:name="微软雅黑 Light">
    <w:panose1 w:val="020B0502040204020203"/>
    <w:charset w:val="86"/>
    <w:family w:val="auto"/>
    <w:pitch w:val="default"/>
    <w:sig w:usb0="80000287" w:usb1="2ACF0010" w:usb2="00000016" w:usb3="00000000" w:csb0="0004001F" w:csb1="00000000"/>
  </w:font>
  <w:font w:name="方正兰亭大黑_GBK">
    <w:panose1 w:val="02000000000000000000"/>
    <w:charset w:val="86"/>
    <w:family w:val="auto"/>
    <w:pitch w:val="default"/>
    <w:sig w:usb0="A00002BF" w:usb1="3BCF7CFA" w:usb2="00042016" w:usb3="00000010" w:csb0="00040001" w:csb1="00000000"/>
  </w:font>
  <w:font w:name="方正楷体简体">
    <w:panose1 w:val="02000000000000000000"/>
    <w:charset w:val="86"/>
    <w:family w:val="auto"/>
    <w:pitch w:val="default"/>
    <w:sig w:usb0="A00002BF" w:usb1="184F6CFA" w:usb2="00000012" w:usb3="00000000" w:csb0="00040001"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B8"/>
    <w:rsid w:val="000023C5"/>
    <w:rsid w:val="00014EC4"/>
    <w:rsid w:val="000163F6"/>
    <w:rsid w:val="00053260"/>
    <w:rsid w:val="00060918"/>
    <w:rsid w:val="000C2D02"/>
    <w:rsid w:val="000C3AB8"/>
    <w:rsid w:val="000E7569"/>
    <w:rsid w:val="000F741C"/>
    <w:rsid w:val="00102F54"/>
    <w:rsid w:val="00126A76"/>
    <w:rsid w:val="00131F69"/>
    <w:rsid w:val="001332A8"/>
    <w:rsid w:val="0013383E"/>
    <w:rsid w:val="00173142"/>
    <w:rsid w:val="001B316C"/>
    <w:rsid w:val="001D417D"/>
    <w:rsid w:val="001E351C"/>
    <w:rsid w:val="001E6C7F"/>
    <w:rsid w:val="001F7F54"/>
    <w:rsid w:val="00231616"/>
    <w:rsid w:val="00254F9F"/>
    <w:rsid w:val="00260B6C"/>
    <w:rsid w:val="002A6661"/>
    <w:rsid w:val="002D457B"/>
    <w:rsid w:val="002E2B7B"/>
    <w:rsid w:val="002E45AE"/>
    <w:rsid w:val="00301CA7"/>
    <w:rsid w:val="00310CAC"/>
    <w:rsid w:val="003308BB"/>
    <w:rsid w:val="00341442"/>
    <w:rsid w:val="00354BFC"/>
    <w:rsid w:val="00382EE5"/>
    <w:rsid w:val="00383185"/>
    <w:rsid w:val="0039022E"/>
    <w:rsid w:val="003C3184"/>
    <w:rsid w:val="003E0015"/>
    <w:rsid w:val="00400034"/>
    <w:rsid w:val="004028F7"/>
    <w:rsid w:val="004035FA"/>
    <w:rsid w:val="00403D35"/>
    <w:rsid w:val="00415BA5"/>
    <w:rsid w:val="0042723A"/>
    <w:rsid w:val="00452875"/>
    <w:rsid w:val="00457A1B"/>
    <w:rsid w:val="0046054B"/>
    <w:rsid w:val="00473607"/>
    <w:rsid w:val="0049300C"/>
    <w:rsid w:val="004C19BE"/>
    <w:rsid w:val="004D0977"/>
    <w:rsid w:val="004D3B41"/>
    <w:rsid w:val="004E1B36"/>
    <w:rsid w:val="0050755C"/>
    <w:rsid w:val="005304F7"/>
    <w:rsid w:val="00530D5D"/>
    <w:rsid w:val="00550EEE"/>
    <w:rsid w:val="005607DF"/>
    <w:rsid w:val="00574272"/>
    <w:rsid w:val="00576D13"/>
    <w:rsid w:val="00585ED4"/>
    <w:rsid w:val="00595F82"/>
    <w:rsid w:val="005A3A9E"/>
    <w:rsid w:val="005A73CB"/>
    <w:rsid w:val="005B3CA8"/>
    <w:rsid w:val="006057F8"/>
    <w:rsid w:val="00612A34"/>
    <w:rsid w:val="00636D55"/>
    <w:rsid w:val="00662DE4"/>
    <w:rsid w:val="00667320"/>
    <w:rsid w:val="006739E1"/>
    <w:rsid w:val="00686083"/>
    <w:rsid w:val="006A6659"/>
    <w:rsid w:val="006B13D2"/>
    <w:rsid w:val="006D2F21"/>
    <w:rsid w:val="007503F2"/>
    <w:rsid w:val="007A13AB"/>
    <w:rsid w:val="007A30D5"/>
    <w:rsid w:val="007B7171"/>
    <w:rsid w:val="007D5FA1"/>
    <w:rsid w:val="007F06D2"/>
    <w:rsid w:val="00812734"/>
    <w:rsid w:val="008164B7"/>
    <w:rsid w:val="008322F4"/>
    <w:rsid w:val="0083677B"/>
    <w:rsid w:val="008434FF"/>
    <w:rsid w:val="00863DA1"/>
    <w:rsid w:val="00887710"/>
    <w:rsid w:val="008B79CB"/>
    <w:rsid w:val="008C783D"/>
    <w:rsid w:val="008E7563"/>
    <w:rsid w:val="008F348C"/>
    <w:rsid w:val="00902CBC"/>
    <w:rsid w:val="00940EA1"/>
    <w:rsid w:val="0094517D"/>
    <w:rsid w:val="00956DF4"/>
    <w:rsid w:val="00971A90"/>
    <w:rsid w:val="009814FF"/>
    <w:rsid w:val="00982E20"/>
    <w:rsid w:val="0099164A"/>
    <w:rsid w:val="009B4543"/>
    <w:rsid w:val="009C6059"/>
    <w:rsid w:val="009C6B1C"/>
    <w:rsid w:val="009D4C7C"/>
    <w:rsid w:val="009E5E32"/>
    <w:rsid w:val="00A24D59"/>
    <w:rsid w:val="00A459CD"/>
    <w:rsid w:val="00A511CF"/>
    <w:rsid w:val="00AF162B"/>
    <w:rsid w:val="00AF1D6F"/>
    <w:rsid w:val="00B11147"/>
    <w:rsid w:val="00B12168"/>
    <w:rsid w:val="00B139B4"/>
    <w:rsid w:val="00B3540E"/>
    <w:rsid w:val="00B56451"/>
    <w:rsid w:val="00B82875"/>
    <w:rsid w:val="00BE0583"/>
    <w:rsid w:val="00BE1870"/>
    <w:rsid w:val="00BF10AD"/>
    <w:rsid w:val="00C06330"/>
    <w:rsid w:val="00C066B1"/>
    <w:rsid w:val="00C12730"/>
    <w:rsid w:val="00C12C66"/>
    <w:rsid w:val="00C238B9"/>
    <w:rsid w:val="00C56731"/>
    <w:rsid w:val="00C76AE7"/>
    <w:rsid w:val="00CA485A"/>
    <w:rsid w:val="00CC78F8"/>
    <w:rsid w:val="00CD7608"/>
    <w:rsid w:val="00CF765F"/>
    <w:rsid w:val="00D26F2D"/>
    <w:rsid w:val="00D31369"/>
    <w:rsid w:val="00D36CD5"/>
    <w:rsid w:val="00D60BBA"/>
    <w:rsid w:val="00DA2CAA"/>
    <w:rsid w:val="00DB6186"/>
    <w:rsid w:val="00DB6424"/>
    <w:rsid w:val="00DC3E0B"/>
    <w:rsid w:val="00DD159D"/>
    <w:rsid w:val="00DE2240"/>
    <w:rsid w:val="00DF7663"/>
    <w:rsid w:val="00E00E9E"/>
    <w:rsid w:val="00E4005E"/>
    <w:rsid w:val="00E4262E"/>
    <w:rsid w:val="00E7048E"/>
    <w:rsid w:val="00EB2C85"/>
    <w:rsid w:val="00EB586C"/>
    <w:rsid w:val="00EC304A"/>
    <w:rsid w:val="00EC761A"/>
    <w:rsid w:val="00EC7FAF"/>
    <w:rsid w:val="00ED22B7"/>
    <w:rsid w:val="00ED600D"/>
    <w:rsid w:val="00EE205E"/>
    <w:rsid w:val="00F0240E"/>
    <w:rsid w:val="00F04117"/>
    <w:rsid w:val="00F11A96"/>
    <w:rsid w:val="00F16FC7"/>
    <w:rsid w:val="00F3203A"/>
    <w:rsid w:val="00F55AF3"/>
    <w:rsid w:val="00F90921"/>
    <w:rsid w:val="02965AAC"/>
    <w:rsid w:val="673034C9"/>
    <w:rsid w:val="6A6F2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1"/>
    <w:uiPriority w:val="0"/>
    <w:pPr>
      <w:adjustRightInd w:val="0"/>
      <w:spacing w:line="264" w:lineRule="auto"/>
      <w:ind w:firstLine="482"/>
      <w:textAlignment w:val="baseline"/>
    </w:pPr>
    <w:rPr>
      <w:rFonts w:ascii="Times New Roman" w:hAnsi="Times New Roman" w:eastAsia="宋体" w:cs="Times New Roman"/>
      <w:kern w:val="0"/>
      <w:sz w:val="24"/>
      <w:szCs w:val="20"/>
    </w:rPr>
  </w:style>
  <w:style w:type="paragraph" w:styleId="3">
    <w:name w:val="Balloon Text"/>
    <w:basedOn w:val="1"/>
    <w:link w:val="15"/>
    <w:semiHidden/>
    <w:unhideWhenUsed/>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line="480" w:lineRule="auto"/>
      <w:jc w:val="center"/>
    </w:pPr>
    <w:rPr>
      <w:rFonts w:ascii="Times New Roman" w:hAnsi="Times New Roman" w:eastAsia="宋体" w:cs="Times New Roman"/>
      <w:sz w:val="24"/>
      <w:szCs w:val="24"/>
    </w:rPr>
  </w:style>
  <w:style w:type="table" w:styleId="8">
    <w:name w:val="Table Grid"/>
    <w:basedOn w:val="7"/>
    <w:qFormat/>
    <w:uiPriority w:val="0"/>
    <w:pPr>
      <w:widowControl w:val="0"/>
      <w:jc w:val="both"/>
    </w:pPr>
    <w:rPr>
      <w:rFonts w:eastAsia="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1111111"/>
    <w:basedOn w:val="1"/>
    <w:qFormat/>
    <w:uiPriority w:val="0"/>
    <w:pPr>
      <w:spacing w:line="360" w:lineRule="auto"/>
      <w:ind w:firstLine="480" w:firstLineChars="200"/>
    </w:pPr>
    <w:rPr>
      <w:rFonts w:ascii="Times New Roman" w:hAnsi="Times New Roman" w:eastAsia="宋体" w:cs="Times New Roman"/>
      <w:sz w:val="24"/>
      <w:szCs w:val="24"/>
    </w:rPr>
  </w:style>
  <w:style w:type="character" w:customStyle="1" w:styleId="11">
    <w:name w:val="正文文本缩进 字符"/>
    <w:link w:val="2"/>
    <w:uiPriority w:val="0"/>
    <w:rPr>
      <w:rFonts w:ascii="Times New Roman" w:hAnsi="Times New Roman" w:eastAsia="宋体" w:cs="Times New Roman"/>
      <w:kern w:val="0"/>
      <w:sz w:val="24"/>
      <w:szCs w:val="20"/>
    </w:rPr>
  </w:style>
  <w:style w:type="character" w:customStyle="1" w:styleId="12">
    <w:name w:val="正文文本缩进 Char1"/>
    <w:basedOn w:val="9"/>
    <w:semiHidden/>
    <w:uiPriority w:val="99"/>
  </w:style>
  <w:style w:type="character" w:customStyle="1" w:styleId="13">
    <w:name w:val="页眉 字符"/>
    <w:basedOn w:val="9"/>
    <w:link w:val="5"/>
    <w:uiPriority w:val="99"/>
    <w:rPr>
      <w:sz w:val="18"/>
      <w:szCs w:val="18"/>
    </w:rPr>
  </w:style>
  <w:style w:type="character" w:customStyle="1" w:styleId="14">
    <w:name w:val="页脚 字符"/>
    <w:basedOn w:val="9"/>
    <w:link w:val="4"/>
    <w:uiPriority w:val="99"/>
    <w:rPr>
      <w:sz w:val="18"/>
      <w:szCs w:val="18"/>
    </w:rPr>
  </w:style>
  <w:style w:type="character" w:customStyle="1" w:styleId="15">
    <w:name w:val="批注框文本 字符"/>
    <w:basedOn w:val="9"/>
    <w:link w:val="3"/>
    <w:semiHidden/>
    <w:uiPriority w:val="99"/>
    <w:rPr>
      <w:sz w:val="18"/>
      <w:szCs w:val="18"/>
    </w:rPr>
  </w:style>
  <w:style w:type="paragraph" w:customStyle="1" w:styleId="16">
    <w:name w:val="Default"/>
    <w:uiPriority w:val="0"/>
    <w:pPr>
      <w:widowControl w:val="0"/>
      <w:autoSpaceDE w:val="0"/>
      <w:autoSpaceDN w:val="0"/>
      <w:adjustRightInd w:val="0"/>
    </w:pPr>
    <w:rPr>
      <w:rFonts w:ascii="宋体.萀" w:eastAsia="宋体.萀" w:cs="宋体.萀"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229</Words>
  <Characters>1308</Characters>
  <Lines>10</Lines>
  <Paragraphs>3</Paragraphs>
  <TotalTime>70</TotalTime>
  <ScaleCrop>false</ScaleCrop>
  <LinksUpToDate>false</LinksUpToDate>
  <CharactersWithSpaces>1534</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2023-02-20T14:25:00Z</dcterms:created>
  <dc:creator>Administrator</dc:creator>
  <cp:lastModifiedBy>冯小龙</cp:lastModifiedBy>
  <cp:lastPrinted>2023-03-28T03:26:00Z</cp:lastPrinted>
  <dcterms:modified xsi:type="dcterms:W3CDTF">2023-03-28T06:48:48Z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