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2" w:lineRule="exact"/>
      </w:pPr>
      <w:r>
        <w:rPr>
          <w:position w:val="-48"/>
        </w:rPr>
        <w:drawing>
          <wp:inline distT="0" distB="0" distL="0" distR="0">
            <wp:extent cx="7559040" cy="153797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53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252" w:lineRule="auto"/>
      </w:pPr>
    </w:p>
    <w:p>
      <w:pPr>
        <w:pStyle w:val="4"/>
        <w:spacing w:line="252" w:lineRule="auto"/>
      </w:pPr>
    </w:p>
    <w:p>
      <w:pPr>
        <w:pStyle w:val="4"/>
        <w:spacing w:line="252" w:lineRule="auto"/>
      </w:pPr>
    </w:p>
    <w:p>
      <w:pPr>
        <w:pStyle w:val="4"/>
        <w:spacing w:line="252" w:lineRule="auto"/>
      </w:pPr>
    </w:p>
    <w:p>
      <w:pPr>
        <w:pStyle w:val="4"/>
        <w:spacing w:line="252" w:lineRule="auto"/>
      </w:pPr>
    </w:p>
    <w:p>
      <w:pPr>
        <w:pStyle w:val="4"/>
        <w:spacing w:line="252" w:lineRule="auto"/>
      </w:pPr>
    </w:p>
    <w:p>
      <w:pPr>
        <w:pStyle w:val="4"/>
        <w:spacing w:line="252" w:lineRule="auto"/>
      </w:pPr>
    </w:p>
    <w:p>
      <w:pPr>
        <w:pStyle w:val="4"/>
        <w:spacing w:line="252" w:lineRule="auto"/>
      </w:pPr>
    </w:p>
    <w:p>
      <w:pPr>
        <w:pStyle w:val="4"/>
        <w:spacing w:line="252" w:lineRule="auto"/>
      </w:pPr>
    </w:p>
    <w:p>
      <w:pPr>
        <w:pStyle w:val="4"/>
        <w:spacing w:line="253" w:lineRule="auto"/>
      </w:pPr>
    </w:p>
    <w:p>
      <w:pPr>
        <w:pStyle w:val="4"/>
        <w:spacing w:line="253" w:lineRule="auto"/>
      </w:pPr>
    </w:p>
    <w:p>
      <w:pPr>
        <w:spacing w:before="263" w:line="229" w:lineRule="auto"/>
        <w:ind w:left="3551" w:right="2846" w:hanging="681"/>
        <w:outlineLvl w:val="0"/>
        <w:rPr>
          <w:rFonts w:ascii="方正小标宋_GBK" w:hAnsi="方正小标宋_GBK" w:eastAsia="方正小标宋_GBK" w:cs="方正小标宋_GBK"/>
          <w:sz w:val="68"/>
          <w:szCs w:val="68"/>
        </w:rPr>
      </w:pPr>
      <w:r>
        <w:rPr>
          <w:rFonts w:hint="eastAsia" w:ascii="方正小标宋_GBK" w:hAnsi="方正小标宋_GBK" w:eastAsia="方正小标宋_GBK" w:cs="方正小标宋_GBK"/>
          <w:spacing w:val="7"/>
          <w:sz w:val="68"/>
          <w:szCs w:val="68"/>
          <w:lang w:eastAsia="zh-CN"/>
        </w:rPr>
        <w:t>镇原县消防救援大队</w:t>
      </w:r>
      <w:r>
        <w:rPr>
          <w:rFonts w:ascii="方正小标宋_GBK" w:hAnsi="方正小标宋_GBK" w:eastAsia="方正小标宋_GBK" w:cs="方正小标宋_GBK"/>
          <w:spacing w:val="3"/>
          <w:sz w:val="68"/>
          <w:szCs w:val="68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68"/>
          <w:szCs w:val="68"/>
        </w:rPr>
        <w:t>2024</w:t>
      </w:r>
      <w:r>
        <w:rPr>
          <w:rFonts w:ascii="方正小标宋_GBK" w:hAnsi="方正小标宋_GBK" w:eastAsia="方正小标宋_GBK" w:cs="方正小标宋_GBK"/>
          <w:spacing w:val="6"/>
          <w:sz w:val="68"/>
          <w:szCs w:val="68"/>
        </w:rPr>
        <w:t>年部门预算</w:t>
      </w:r>
    </w:p>
    <w:p>
      <w:pPr>
        <w:pStyle w:val="4"/>
        <w:spacing w:line="287" w:lineRule="auto"/>
      </w:pPr>
    </w:p>
    <w:p>
      <w:pPr>
        <w:pStyle w:val="4"/>
        <w:spacing w:line="288" w:lineRule="auto"/>
      </w:pPr>
    </w:p>
    <w:p>
      <w:pPr>
        <w:spacing w:line="3129" w:lineRule="exact"/>
        <w:ind w:firstLine="4384"/>
      </w:pPr>
      <w:r>
        <w:rPr>
          <w:position w:val="-62"/>
        </w:rPr>
        <w:drawing>
          <wp:inline distT="0" distB="0" distL="0" distR="0">
            <wp:extent cx="1991360" cy="19869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991867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253" w:lineRule="auto"/>
      </w:pPr>
    </w:p>
    <w:p>
      <w:pPr>
        <w:pStyle w:val="4"/>
        <w:spacing w:line="253" w:lineRule="auto"/>
      </w:pPr>
    </w:p>
    <w:p>
      <w:pPr>
        <w:pStyle w:val="4"/>
        <w:spacing w:line="253" w:lineRule="auto"/>
      </w:pPr>
    </w:p>
    <w:p>
      <w:pPr>
        <w:pStyle w:val="4"/>
        <w:spacing w:line="253" w:lineRule="auto"/>
      </w:pPr>
    </w:p>
    <w:p>
      <w:pPr>
        <w:pStyle w:val="4"/>
        <w:spacing w:line="253" w:lineRule="auto"/>
      </w:pPr>
    </w:p>
    <w:p>
      <w:pPr>
        <w:pStyle w:val="4"/>
        <w:spacing w:line="253" w:lineRule="auto"/>
      </w:pPr>
    </w:p>
    <w:p>
      <w:pPr>
        <w:pStyle w:val="4"/>
        <w:spacing w:line="253" w:lineRule="auto"/>
      </w:pPr>
    </w:p>
    <w:p>
      <w:pPr>
        <w:pStyle w:val="4"/>
        <w:spacing w:line="253" w:lineRule="auto"/>
      </w:pPr>
    </w:p>
    <w:p>
      <w:pPr>
        <w:pStyle w:val="4"/>
        <w:spacing w:line="253" w:lineRule="auto"/>
      </w:pPr>
    </w:p>
    <w:p>
      <w:pPr>
        <w:pStyle w:val="4"/>
        <w:spacing w:line="254" w:lineRule="auto"/>
      </w:pPr>
    </w:p>
    <w:p>
      <w:pPr>
        <w:pStyle w:val="4"/>
        <w:spacing w:line="254" w:lineRule="auto"/>
      </w:pPr>
    </w:p>
    <w:p>
      <w:pPr>
        <w:spacing w:before="197" w:line="186" w:lineRule="auto"/>
        <w:ind w:left="4711"/>
        <w:rPr>
          <w:rFonts w:ascii="微软雅黑" w:hAnsi="微软雅黑" w:eastAsia="微软雅黑" w:cs="微软雅黑"/>
          <w:sz w:val="46"/>
          <w:szCs w:val="46"/>
        </w:rPr>
        <w:sectPr>
          <w:headerReference r:id="rId5" w:type="default"/>
          <w:pgSz w:w="11906" w:h="16840"/>
          <w:pgMar w:top="1" w:right="1" w:bottom="0" w:left="0" w:header="0" w:footer="0" w:gutter="0"/>
          <w:pgNumType w:fmt="numberInDash"/>
          <w:cols w:space="720" w:num="1"/>
        </w:sectPr>
      </w:pPr>
      <w:r>
        <w:rPr>
          <w:rFonts w:ascii="Times New Roman" w:hAnsi="Times New Roman" w:eastAsia="Times New Roman" w:cs="Times New Roman"/>
          <w:spacing w:val="1"/>
          <w:sz w:val="46"/>
          <w:szCs w:val="46"/>
        </w:rPr>
        <w:t xml:space="preserve">2024 </w:t>
      </w:r>
      <w:r>
        <w:rPr>
          <w:rFonts w:ascii="微软雅黑" w:hAnsi="微软雅黑" w:eastAsia="微软雅黑" w:cs="微软雅黑"/>
          <w:spacing w:val="1"/>
          <w:sz w:val="46"/>
          <w:szCs w:val="46"/>
        </w:rPr>
        <w:t xml:space="preserve">年 </w:t>
      </w:r>
      <w:r>
        <w:rPr>
          <w:rFonts w:hint="eastAsia" w:ascii="Times New Roman" w:hAnsi="Times New Roman" w:eastAsia="宋体" w:cs="Times New Roman"/>
          <w:spacing w:val="1"/>
          <w:sz w:val="46"/>
          <w:szCs w:val="46"/>
          <w:lang w:val="en-US" w:eastAsia="zh-CN"/>
        </w:rPr>
        <w:t>5</w:t>
      </w:r>
      <w:r>
        <w:rPr>
          <w:rFonts w:ascii="微软雅黑" w:hAnsi="微软雅黑" w:eastAsia="微软雅黑" w:cs="微软雅黑"/>
          <w:spacing w:val="1"/>
          <w:sz w:val="46"/>
          <w:szCs w:val="46"/>
        </w:rPr>
        <w:t>月</w:t>
      </w:r>
    </w:p>
    <w:p>
      <w:pPr>
        <w:pStyle w:val="4"/>
        <w:spacing w:line="276" w:lineRule="auto"/>
      </w:pPr>
    </w:p>
    <w:sdt>
      <w:sdtPr>
        <w:rPr>
          <w:rFonts w:ascii="微软雅黑" w:hAnsi="微软雅黑" w:eastAsia="微软雅黑" w:cs="微软雅黑"/>
          <w:sz w:val="42"/>
          <w:szCs w:val="42"/>
        </w:rPr>
        <w:id w:val="1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>
          <w:pPr>
            <w:spacing w:before="180" w:line="179" w:lineRule="auto"/>
            <w:ind w:left="3696"/>
            <w:rPr>
              <w:rFonts w:ascii="微软雅黑" w:hAnsi="微软雅黑" w:eastAsia="微软雅黑" w:cs="微软雅黑"/>
              <w:sz w:val="42"/>
              <w:szCs w:val="42"/>
            </w:rPr>
          </w:pPr>
          <w:bookmarkStart w:id="0" w:name="bookmark1"/>
          <w:bookmarkEnd w:id="0"/>
        </w:p>
        <w:p>
          <w:pPr>
            <w:spacing w:before="180" w:line="179" w:lineRule="auto"/>
            <w:ind w:left="3696"/>
            <w:rPr>
              <w:rFonts w:ascii="微软雅黑" w:hAnsi="微软雅黑" w:eastAsia="微软雅黑" w:cs="微软雅黑"/>
              <w:sz w:val="42"/>
              <w:szCs w:val="42"/>
            </w:rPr>
          </w:pPr>
          <w:r>
            <w:rPr>
              <w:rFonts w:ascii="微软雅黑" w:hAnsi="微软雅黑" w:eastAsia="微软雅黑" w:cs="微软雅黑"/>
              <w:spacing w:val="-25"/>
              <w:sz w:val="42"/>
              <w:szCs w:val="42"/>
            </w:rPr>
            <w:t>目</w:t>
          </w:r>
          <w:r>
            <w:rPr>
              <w:rFonts w:ascii="微软雅黑" w:hAnsi="微软雅黑" w:eastAsia="微软雅黑" w:cs="微软雅黑"/>
              <w:spacing w:val="59"/>
              <w:sz w:val="42"/>
              <w:szCs w:val="42"/>
            </w:rPr>
            <w:t xml:space="preserve">  </w:t>
          </w:r>
          <w:r>
            <w:rPr>
              <w:rFonts w:ascii="微软雅黑" w:hAnsi="微软雅黑" w:eastAsia="微软雅黑" w:cs="微软雅黑"/>
              <w:spacing w:val="-25"/>
              <w:sz w:val="42"/>
              <w:szCs w:val="42"/>
            </w:rPr>
            <w:t>录</w:t>
          </w:r>
        </w:p>
        <w:p>
          <w:pPr>
            <w:pStyle w:val="4"/>
            <w:spacing w:line="297" w:lineRule="auto"/>
          </w:pPr>
        </w:p>
        <w:p>
          <w:pPr>
            <w:pStyle w:val="4"/>
            <w:spacing w:line="298" w:lineRule="auto"/>
          </w:pPr>
        </w:p>
        <w:p>
          <w:pPr>
            <w:keepNext w:val="0"/>
            <w:keepLines w:val="0"/>
            <w:pageBreakBefore w:val="0"/>
            <w:widowControl/>
            <w:tabs>
              <w:tab w:val="right" w:leader="dot" w:pos="8677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640" w:lineRule="exact"/>
            <w:ind w:left="471"/>
            <w:textAlignment w:val="baseline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hint="eastAsia" w:ascii="方正黑体_GBK" w:hAnsi="方正黑体_GBK" w:eastAsia="方正黑体_GBK" w:cs="方正黑体_GBK"/>
              <w:spacing w:val="12"/>
              <w:sz w:val="30"/>
              <w:szCs w:val="30"/>
              <w:lang w:eastAsia="zh-CN"/>
            </w:rPr>
            <w:t>第一部分</w:t>
          </w:r>
          <w:r>
            <w:rPr>
              <w:rFonts w:hint="eastAsia" w:ascii="仿宋_GB2312" w:hAnsi="仿宋_GB2312" w:eastAsia="仿宋_GB2312" w:cs="仿宋_GB2312"/>
              <w:spacing w:val="12"/>
              <w:sz w:val="30"/>
              <w:szCs w:val="30"/>
            </w:rPr>
            <w:t xml:space="preserve">  </w:t>
          </w:r>
          <w:r>
            <w:rPr>
              <w:rFonts w:hint="eastAsia" w:ascii="方正黑体_GBK" w:hAnsi="方正黑体_GBK" w:eastAsia="方正黑体_GBK" w:cs="方正黑体_GBK"/>
              <w:spacing w:val="12"/>
              <w:sz w:val="30"/>
              <w:szCs w:val="30"/>
              <w:lang w:eastAsia="zh-CN"/>
            </w:rPr>
            <w:t>镇原县消防救援大队</w:t>
          </w:r>
          <w:r>
            <w:rPr>
              <w:rFonts w:hint="eastAsia" w:ascii="方正黑体_GBK" w:hAnsi="方正黑体_GBK" w:eastAsia="方正黑体_GBK" w:cs="方正黑体_GBK"/>
              <w:spacing w:val="12"/>
              <w:sz w:val="30"/>
              <w:szCs w:val="30"/>
            </w:rPr>
            <w:t>概况</w:t>
          </w:r>
          <w:r>
            <w:rPr>
              <w:rFonts w:ascii="方正黑体_GBK" w:hAnsi="方正黑体_GBK" w:eastAsia="方正黑体_GBK" w:cs="方正黑体_GBK"/>
              <w:spacing w:val="-27"/>
              <w:sz w:val="30"/>
              <w:szCs w:val="30"/>
            </w:rPr>
            <w:t xml:space="preserve"> </w:t>
          </w:r>
          <w:r>
            <w:rPr>
              <w:rFonts w:ascii="方正黑体_GBK" w:hAnsi="方正黑体_GBK" w:eastAsia="方正黑体_GBK" w:cs="方正黑体_GBK"/>
              <w:sz w:val="30"/>
              <w:szCs w:val="30"/>
            </w:rPr>
            <w:tab/>
          </w:r>
          <w:r>
            <w:rPr>
              <w:rFonts w:ascii="方正黑体_GBK" w:hAnsi="方正黑体_GBK" w:eastAsia="方正黑体_GBK" w:cs="方正黑体_GBK"/>
              <w:spacing w:val="56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tabs>
              <w:tab w:val="right" w:leader="dot" w:pos="864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640" w:lineRule="exact"/>
            <w:ind w:left="509"/>
            <w:textAlignment w:val="baseline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2" w:name="bookmark1"/>
          <w:bookmarkEnd w:id="2"/>
          <w:r>
            <w:rPr>
              <w:rFonts w:hint="eastAsia" w:ascii="仿宋_GB2312" w:hAnsi="仿宋_GB2312" w:eastAsia="仿宋_GB2312" w:cs="仿宋_GB2312"/>
              <w:spacing w:val="12"/>
              <w:sz w:val="30"/>
              <w:szCs w:val="30"/>
            </w:rPr>
            <w:t xml:space="preserve">一、部门职责 </w:t>
          </w:r>
          <w:r>
            <w:rPr>
              <w:rFonts w:ascii="方正仿宋_GBK" w:hAnsi="方正仿宋_GBK" w:eastAsia="方正仿宋_GBK" w:cs="方正仿宋_GBK"/>
              <w:position w:val="4"/>
              <w:sz w:val="30"/>
              <w:szCs w:val="30"/>
            </w:rPr>
            <w:tab/>
          </w:r>
          <w:r>
            <w:rPr>
              <w:rFonts w:ascii="方正仿宋_GBK" w:hAnsi="方正仿宋_GBK" w:eastAsia="方正仿宋_GBK" w:cs="方正仿宋_GBK"/>
              <w:spacing w:val="-85"/>
              <w:position w:val="4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fldChar w:fldCharType="begin"/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instrText xml:space="preserve"> HYPERLINK \l "bookmark1" </w:instrTex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t>2</w: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tabs>
              <w:tab w:val="right" w:leader="dot" w:pos="865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640" w:lineRule="exact"/>
            <w:ind w:left="500"/>
            <w:textAlignment w:val="baseline"/>
            <w:rPr>
              <w:rFonts w:hint="eastAsia" w:ascii="Times New Roman" w:hAnsi="Times New Roman" w:eastAsia="方正仿宋_GBK" w:cs="Times New Roman"/>
              <w:sz w:val="30"/>
              <w:szCs w:val="30"/>
              <w:lang w:eastAsia="zh-CN"/>
            </w:rPr>
          </w:pPr>
          <w:bookmarkStart w:id="3" w:name="bookmark3"/>
          <w:bookmarkEnd w:id="3"/>
          <w:r>
            <w:rPr>
              <w:rFonts w:hint="eastAsia" w:ascii="仿宋_GB2312" w:hAnsi="仿宋_GB2312" w:eastAsia="仿宋_GB2312" w:cs="仿宋_GB2312"/>
              <w:spacing w:val="12"/>
              <w:sz w:val="30"/>
              <w:szCs w:val="30"/>
            </w:rPr>
            <w:t xml:space="preserve">二、机构设置 </w:t>
          </w:r>
          <w:r>
            <w:rPr>
              <w:rFonts w:ascii="方正仿宋_GBK" w:hAnsi="方正仿宋_GBK" w:eastAsia="方正仿宋_GBK" w:cs="方正仿宋_GBK"/>
              <w:position w:val="4"/>
              <w:sz w:val="30"/>
              <w:szCs w:val="30"/>
            </w:rPr>
            <w:tab/>
          </w:r>
          <w:r>
            <w:rPr>
              <w:rFonts w:ascii="方正仿宋_GBK" w:hAnsi="方正仿宋_GBK" w:eastAsia="方正仿宋_GBK" w:cs="方正仿宋_GBK"/>
              <w:spacing w:val="-76"/>
              <w:position w:val="4"/>
              <w:sz w:val="30"/>
              <w:szCs w:val="30"/>
            </w:rPr>
            <w:t xml:space="preserve"> </w:t>
          </w:r>
          <w:r>
            <w:rPr>
              <w:rFonts w:hint="eastAsia" w:ascii="Times New Roman" w:hAnsi="Times New Roman" w:eastAsia="Times New Roman" w:cs="Times New Roman"/>
              <w:spacing w:val="-32"/>
              <w:sz w:val="30"/>
              <w:szCs w:val="30"/>
              <w:lang w:val="en-US" w:eastAsia="zh-CN"/>
            </w:rPr>
            <w:t>2</w:t>
          </w:r>
        </w:p>
        <w:p>
          <w:pPr>
            <w:keepNext w:val="0"/>
            <w:keepLines w:val="0"/>
            <w:pageBreakBefore w:val="0"/>
            <w:widowControl/>
            <w:tabs>
              <w:tab w:val="right" w:leader="dot" w:pos="865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640" w:lineRule="exact"/>
            <w:ind w:left="471"/>
            <w:textAlignment w:val="baseline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hint="eastAsia" w:ascii="方正黑体_GBK" w:hAnsi="方正黑体_GBK" w:eastAsia="方正黑体_GBK" w:cs="方正黑体_GBK"/>
              <w:spacing w:val="12"/>
              <w:sz w:val="30"/>
              <w:szCs w:val="30"/>
              <w:lang w:eastAsia="zh-CN"/>
            </w:rPr>
            <w:t>第二部分</w:t>
          </w:r>
          <w:r>
            <w:rPr>
              <w:rFonts w:hint="eastAsia" w:ascii="仿宋_GB2312" w:hAnsi="仿宋_GB2312" w:eastAsia="仿宋_GB2312" w:cs="仿宋_GB2312"/>
              <w:spacing w:val="12"/>
              <w:sz w:val="30"/>
              <w:szCs w:val="30"/>
            </w:rPr>
            <w:t xml:space="preserve"> </w:t>
          </w:r>
          <w:r>
            <w:rPr>
              <w:rFonts w:hint="eastAsia" w:ascii="方正黑体_GBK" w:hAnsi="方正黑体_GBK" w:eastAsia="方正黑体_GBK" w:cs="方正黑体_GBK"/>
              <w:spacing w:val="12"/>
              <w:sz w:val="30"/>
              <w:szCs w:val="30"/>
            </w:rPr>
            <w:t xml:space="preserve"> </w:t>
          </w:r>
          <w:r>
            <w:rPr>
              <w:rFonts w:hint="eastAsia" w:ascii="方正黑体_GBK" w:hAnsi="方正黑体_GBK" w:eastAsia="方正黑体_GBK" w:cs="方正黑体_GBK"/>
              <w:spacing w:val="12"/>
              <w:sz w:val="30"/>
              <w:szCs w:val="30"/>
              <w:lang w:eastAsia="zh-CN"/>
            </w:rPr>
            <w:t>镇原县消防救援大队</w:t>
          </w:r>
          <w:r>
            <w:rPr>
              <w:rFonts w:hint="eastAsia" w:ascii="方正黑体_GBK" w:hAnsi="方正黑体_GBK" w:eastAsia="方正黑体_GBK" w:cs="方正黑体_GBK"/>
              <w:spacing w:val="12"/>
              <w:sz w:val="30"/>
              <w:szCs w:val="30"/>
            </w:rPr>
            <w:t xml:space="preserve"> 2024 年部门预算表</w:t>
          </w:r>
          <w:r>
            <w:rPr>
              <w:rFonts w:ascii="方正黑体_GBK" w:hAnsi="方正黑体_GBK" w:eastAsia="方正黑体_GBK" w:cs="方正黑体_GBK"/>
              <w:spacing w:val="-40"/>
              <w:sz w:val="30"/>
              <w:szCs w:val="30"/>
            </w:rPr>
            <w:t xml:space="preserve"> </w:t>
          </w:r>
          <w:r>
            <w:rPr>
              <w:rFonts w:ascii="方正黑体_GBK" w:hAnsi="方正黑体_GBK" w:eastAsia="方正黑体_GBK" w:cs="方正黑体_GBK"/>
              <w:sz w:val="30"/>
              <w:szCs w:val="30"/>
            </w:rPr>
            <w:tab/>
          </w:r>
          <w:r>
            <w:rPr>
              <w:rFonts w:ascii="方正黑体_GBK" w:hAnsi="方正黑体_GBK" w:eastAsia="方正黑体_GBK" w:cs="方正黑体_GBK"/>
              <w:spacing w:val="-22"/>
              <w:sz w:val="30"/>
              <w:szCs w:val="30"/>
            </w:rPr>
            <w:t xml:space="preserve"> </w:t>
          </w:r>
          <w:r>
            <w:rPr>
              <w:rFonts w:hint="eastAsia" w:ascii="Times New Roman" w:hAnsi="Times New Roman" w:eastAsia="Times New Roman" w:cs="Times New Roman"/>
              <w:spacing w:val="-32"/>
              <w:sz w:val="30"/>
              <w:szCs w:val="30"/>
              <w:lang w:val="en-US" w:eastAsia="zh-CN"/>
            </w:rPr>
            <w:t>3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tabs>
              <w:tab w:val="right" w:leader="dot" w:pos="865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640" w:lineRule="exact"/>
            <w:ind w:left="509"/>
            <w:textAlignment w:val="baseline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spacing w:val="12"/>
              <w:sz w:val="30"/>
              <w:szCs w:val="30"/>
            </w:rPr>
            <w:t>一、部门收支总表</w:t>
          </w:r>
          <w:r>
            <w:rPr>
              <w:rFonts w:ascii="方正仿宋_GBK" w:hAnsi="方正仿宋_GBK" w:eastAsia="方正仿宋_GBK" w:cs="方正仿宋_GBK"/>
              <w:spacing w:val="-103"/>
              <w:sz w:val="30"/>
              <w:szCs w:val="30"/>
            </w:rPr>
            <w:t xml:space="preserve"> </w:t>
          </w:r>
          <w:r>
            <w:rPr>
              <w:rFonts w:ascii="方正仿宋_GBK" w:hAnsi="方正仿宋_GBK" w:eastAsia="方正仿宋_GBK" w:cs="方正仿宋_GBK"/>
              <w:sz w:val="30"/>
              <w:szCs w:val="30"/>
            </w:rPr>
            <w:tab/>
          </w:r>
          <w:r>
            <w:rPr>
              <w:rFonts w:ascii="方正仿宋_GBK" w:hAnsi="方正仿宋_GBK" w:eastAsia="方正仿宋_GBK" w:cs="方正仿宋_GBK"/>
              <w:spacing w:val="-94"/>
              <w:sz w:val="30"/>
              <w:szCs w:val="30"/>
            </w:rPr>
            <w:t xml:space="preserve"> </w:t>
          </w:r>
          <w:r>
            <w:rPr>
              <w:rFonts w:hint="eastAsia" w:ascii="Times New Roman" w:hAnsi="Times New Roman" w:eastAsia="Times New Roman" w:cs="Times New Roman"/>
              <w:spacing w:val="-32"/>
              <w:sz w:val="30"/>
              <w:szCs w:val="30"/>
              <w:lang w:val="en-US" w:eastAsia="zh-CN"/>
            </w:rPr>
            <w:t>4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tabs>
              <w:tab w:val="right" w:leader="dot" w:pos="8657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640" w:lineRule="exact"/>
            <w:ind w:left="500"/>
            <w:textAlignment w:val="baseline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6" w:name="bookmark7"/>
          <w:bookmarkEnd w:id="6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spacing w:val="12"/>
              <w:sz w:val="30"/>
              <w:szCs w:val="30"/>
            </w:rPr>
            <w:t>二、部门收入总表</w:t>
          </w:r>
          <w:r>
            <w:rPr>
              <w:rFonts w:ascii="方正仿宋_GBK" w:hAnsi="方正仿宋_GBK" w:eastAsia="方正仿宋_GBK" w:cs="方正仿宋_GBK"/>
              <w:spacing w:val="-94"/>
              <w:sz w:val="30"/>
              <w:szCs w:val="30"/>
            </w:rPr>
            <w:t xml:space="preserve"> </w:t>
          </w:r>
          <w:r>
            <w:rPr>
              <w:rFonts w:ascii="方正仿宋_GBK" w:hAnsi="方正仿宋_GBK" w:eastAsia="方正仿宋_GBK" w:cs="方正仿宋_GBK"/>
              <w:sz w:val="30"/>
              <w:szCs w:val="30"/>
            </w:rPr>
            <w:tab/>
          </w:r>
          <w:r>
            <w:rPr>
              <w:rFonts w:ascii="方正仿宋_GBK" w:hAnsi="方正仿宋_GBK" w:eastAsia="方正仿宋_GBK" w:cs="方正仿宋_GBK"/>
              <w:spacing w:val="-91"/>
              <w:sz w:val="30"/>
              <w:szCs w:val="30"/>
            </w:rPr>
            <w:t xml:space="preserve"> </w:t>
          </w:r>
          <w:r>
            <w:rPr>
              <w:rFonts w:hint="eastAsia" w:ascii="Times New Roman" w:hAnsi="Times New Roman" w:eastAsia="Times New Roman" w:cs="Times New Roman"/>
              <w:spacing w:val="-32"/>
              <w:sz w:val="30"/>
              <w:szCs w:val="30"/>
              <w:lang w:val="en-US" w:eastAsia="zh-CN"/>
            </w:rPr>
            <w:t>5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tabs>
              <w:tab w:val="right" w:leader="dot" w:pos="8677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640" w:lineRule="exact"/>
            <w:ind w:left="471"/>
            <w:textAlignment w:val="baseline"/>
          </w:pPr>
          <w:bookmarkStart w:id="7" w:name="bookmark8"/>
          <w:bookmarkEnd w:id="7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spacing w:val="12"/>
              <w:sz w:val="30"/>
              <w:szCs w:val="30"/>
            </w:rPr>
            <w:t>三、部门支出总表</w:t>
          </w:r>
          <w:r>
            <w:rPr>
              <w:rFonts w:ascii="方正仿宋_GBK" w:hAnsi="方正仿宋_GBK" w:eastAsia="方正仿宋_GBK" w:cs="方正仿宋_GBK"/>
              <w:spacing w:val="10"/>
              <w:sz w:val="30"/>
              <w:szCs w:val="30"/>
            </w:rPr>
            <w:t xml:space="preserve"> </w:t>
          </w:r>
          <w:r>
            <w:tab/>
          </w:r>
          <w:r>
            <w:rPr>
              <w:rFonts w:hint="default" w:ascii="Times New Roman" w:hAnsi="Times New Roman" w:cs="Times New Roman"/>
              <w:sz w:val="30"/>
              <w:szCs w:val="30"/>
              <w:lang w:val="en-US" w:eastAsia="zh-CN"/>
            </w:rPr>
            <w:t>6</w:t>
          </w:r>
          <w:r>
            <w:fldChar w:fldCharType="end"/>
          </w:r>
        </w:p>
        <w:p>
          <w:pPr>
            <w:keepNext w:val="0"/>
            <w:keepLines w:val="0"/>
            <w:pageBreakBefore w:val="0"/>
            <w:widowControl/>
            <w:tabs>
              <w:tab w:val="right" w:leader="dot" w:pos="865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640" w:lineRule="exact"/>
            <w:ind w:left="509"/>
            <w:textAlignment w:val="baseline"/>
            <w:rPr>
              <w:rFonts w:ascii="方正仿宋_GBK" w:hAnsi="方正仿宋_GBK" w:eastAsia="方正仿宋_GBK" w:cs="方正仿宋_GBK"/>
              <w:spacing w:val="10"/>
              <w:sz w:val="30"/>
              <w:szCs w:val="30"/>
            </w:rPr>
          </w:pPr>
          <w:bookmarkStart w:id="8" w:name="bookmark9"/>
          <w:bookmarkEnd w:id="8"/>
          <w:r>
            <w:rPr>
              <w:rFonts w:ascii="方正仿宋_GBK" w:hAnsi="方正仿宋_GBK" w:eastAsia="方正仿宋_GBK" w:cs="方正仿宋_GBK"/>
              <w:spacing w:val="10"/>
              <w:sz w:val="30"/>
              <w:szCs w:val="30"/>
            </w:rPr>
            <w:fldChar w:fldCharType="begin"/>
          </w:r>
          <w:r>
            <w:rPr>
              <w:rFonts w:ascii="方正仿宋_GBK" w:hAnsi="方正仿宋_GBK" w:eastAsia="方正仿宋_GBK" w:cs="方正仿宋_GBK"/>
              <w:spacing w:val="10"/>
              <w:sz w:val="30"/>
              <w:szCs w:val="30"/>
            </w:rPr>
            <w:instrText xml:space="preserve"> HYPERLINK \l "bookmark9" </w:instrText>
          </w:r>
          <w:r>
            <w:rPr>
              <w:rFonts w:ascii="方正仿宋_GBK" w:hAnsi="方正仿宋_GBK" w:eastAsia="方正仿宋_GBK" w:cs="方正仿宋_GBK"/>
              <w:spacing w:val="10"/>
              <w:sz w:val="30"/>
              <w:szCs w:val="30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pacing w:val="12"/>
              <w:sz w:val="30"/>
              <w:szCs w:val="30"/>
            </w:rPr>
            <w:t>四、财政拨款收支总表</w:t>
          </w:r>
          <w:r>
            <w:rPr>
              <w:rFonts w:ascii="方正仿宋_GBK" w:hAnsi="方正仿宋_GBK" w:eastAsia="方正仿宋_GBK" w:cs="方正仿宋_GBK"/>
              <w:spacing w:val="10"/>
              <w:sz w:val="30"/>
              <w:szCs w:val="30"/>
            </w:rPr>
            <w:t xml:space="preserve"> </w:t>
          </w:r>
          <w:r>
            <w:rPr>
              <w:rFonts w:ascii="方正仿宋_GBK" w:hAnsi="方正仿宋_GBK" w:eastAsia="方正仿宋_GBK" w:cs="方正仿宋_GBK"/>
              <w:spacing w:val="10"/>
              <w:sz w:val="30"/>
              <w:szCs w:val="30"/>
            </w:rPr>
            <w:tab/>
          </w:r>
          <w:r>
            <w:rPr>
              <w:rFonts w:ascii="方正仿宋_GBK" w:hAnsi="方正仿宋_GBK" w:eastAsia="方正仿宋_GBK" w:cs="方正仿宋_GBK"/>
              <w:spacing w:val="10"/>
              <w:sz w:val="30"/>
              <w:szCs w:val="30"/>
            </w:rPr>
            <w:t xml:space="preserve"> </w:t>
          </w:r>
          <w:r>
            <w:rPr>
              <w:rFonts w:hint="eastAsia" w:ascii="Times New Roman" w:hAnsi="Times New Roman" w:eastAsia="Times New Roman" w:cs="Times New Roman"/>
              <w:spacing w:val="-32"/>
              <w:sz w:val="30"/>
              <w:szCs w:val="30"/>
              <w:lang w:val="en-US" w:eastAsia="zh-CN"/>
            </w:rPr>
            <w:t>7</w:t>
          </w:r>
          <w:r>
            <w:rPr>
              <w:rFonts w:ascii="方正仿宋_GBK" w:hAnsi="方正仿宋_GBK" w:eastAsia="方正仿宋_GBK" w:cs="方正仿宋_GBK"/>
              <w:spacing w:val="10"/>
              <w:sz w:val="30"/>
              <w:szCs w:val="30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tabs>
              <w:tab w:val="right" w:leader="dot" w:pos="8652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640" w:lineRule="exact"/>
            <w:ind w:left="509"/>
            <w:textAlignment w:val="baseline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9" w:name="bookmark10"/>
          <w:bookmarkEnd w:id="9"/>
          <w:r>
            <w:rPr>
              <w:rFonts w:ascii="方正仿宋_GBK" w:hAnsi="方正仿宋_GBK" w:eastAsia="方正仿宋_GBK" w:cs="方正仿宋_GBK"/>
              <w:spacing w:val="10"/>
              <w:sz w:val="30"/>
              <w:szCs w:val="30"/>
            </w:rPr>
            <w:fldChar w:fldCharType="begin"/>
          </w:r>
          <w:r>
            <w:rPr>
              <w:rFonts w:ascii="方正仿宋_GBK" w:hAnsi="方正仿宋_GBK" w:eastAsia="方正仿宋_GBK" w:cs="方正仿宋_GBK"/>
              <w:spacing w:val="10"/>
              <w:sz w:val="30"/>
              <w:szCs w:val="30"/>
            </w:rPr>
            <w:instrText xml:space="preserve"> HYPERLINK \l "bookmark10" </w:instrText>
          </w:r>
          <w:r>
            <w:rPr>
              <w:rFonts w:ascii="方正仿宋_GBK" w:hAnsi="方正仿宋_GBK" w:eastAsia="方正仿宋_GBK" w:cs="方正仿宋_GBK"/>
              <w:spacing w:val="10"/>
              <w:sz w:val="30"/>
              <w:szCs w:val="30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pacing w:val="12"/>
              <w:sz w:val="30"/>
              <w:szCs w:val="30"/>
            </w:rPr>
            <w:t>五、一般公共预算支出表</w:t>
          </w:r>
          <w:r>
            <w:rPr>
              <w:rFonts w:ascii="方正仿宋_GBK" w:hAnsi="方正仿宋_GBK" w:eastAsia="方正仿宋_GBK" w:cs="方正仿宋_GBK"/>
              <w:spacing w:val="10"/>
              <w:sz w:val="30"/>
              <w:szCs w:val="30"/>
            </w:rPr>
            <w:t xml:space="preserve"> </w:t>
          </w:r>
          <w:r>
            <w:rPr>
              <w:rFonts w:ascii="方正仿宋_GBK" w:hAnsi="方正仿宋_GBK" w:eastAsia="方正仿宋_GBK" w:cs="方正仿宋_GBK"/>
              <w:spacing w:val="10"/>
              <w:sz w:val="30"/>
              <w:szCs w:val="30"/>
            </w:rPr>
            <w:tab/>
          </w:r>
          <w:r>
            <w:rPr>
              <w:rFonts w:hint="eastAsia" w:ascii="Times New Roman" w:hAnsi="Times New Roman" w:eastAsia="Times New Roman" w:cs="Times New Roman"/>
              <w:spacing w:val="-32"/>
              <w:sz w:val="30"/>
              <w:szCs w:val="30"/>
              <w:lang w:val="en-US" w:eastAsia="zh-CN"/>
            </w:rPr>
            <w:t>8</w:t>
          </w:r>
          <w:r>
            <w:rPr>
              <w:rFonts w:ascii="方正仿宋_GBK" w:hAnsi="方正仿宋_GBK" w:eastAsia="方正仿宋_GBK" w:cs="方正仿宋_GBK"/>
              <w:spacing w:val="10"/>
              <w:sz w:val="30"/>
              <w:szCs w:val="30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tabs>
              <w:tab w:val="right" w:leader="dot" w:pos="8657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640" w:lineRule="exact"/>
            <w:ind w:left="508"/>
            <w:textAlignment w:val="baseline"/>
            <w:rPr>
              <w:rFonts w:hint="eastAsia" w:ascii="Times New Roman" w:hAnsi="Times New Roman" w:eastAsia="宋体" w:cs="Times New Roman"/>
              <w:sz w:val="30"/>
              <w:szCs w:val="30"/>
              <w:lang w:val="en-US" w:eastAsia="zh-CN"/>
            </w:rPr>
          </w:pPr>
          <w:bookmarkStart w:id="10" w:name="bookmark11"/>
          <w:bookmarkEnd w:id="10"/>
          <w:r>
            <w:rPr>
              <w:rFonts w:hint="eastAsia" w:ascii="仿宋_GB2312" w:hAnsi="仿宋_GB2312" w:eastAsia="仿宋_GB2312" w:cs="仿宋_GB2312"/>
              <w:spacing w:val="12"/>
              <w:sz w:val="30"/>
              <w:szCs w:val="30"/>
            </w:rPr>
            <w:t>六、一般公共预算基本支出表</w:t>
          </w:r>
          <w:r>
            <w:rPr>
              <w:rFonts w:ascii="方正仿宋_GBK" w:hAnsi="方正仿宋_GBK" w:eastAsia="方正仿宋_GBK" w:cs="方正仿宋_GBK"/>
              <w:spacing w:val="-90"/>
              <w:position w:val="4"/>
              <w:sz w:val="30"/>
              <w:szCs w:val="30"/>
            </w:rPr>
            <w:t xml:space="preserve"> </w:t>
          </w:r>
          <w:r>
            <w:rPr>
              <w:rFonts w:ascii="方正仿宋_GBK" w:hAnsi="方正仿宋_GBK" w:eastAsia="方正仿宋_GBK" w:cs="方正仿宋_GBK"/>
              <w:position w:val="4"/>
              <w:sz w:val="30"/>
              <w:szCs w:val="30"/>
            </w:rPr>
            <w:tab/>
          </w:r>
          <w:r>
            <w:rPr>
              <w:rFonts w:ascii="方正仿宋_GBK" w:hAnsi="方正仿宋_GBK" w:eastAsia="方正仿宋_GBK" w:cs="方正仿宋_GBK"/>
              <w:spacing w:val="-21"/>
              <w:position w:val="4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fldChar w:fldCharType="begin"/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instrText xml:space="preserve"> HYPERLINK \l "bookmark12" </w:instrTex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fldChar w:fldCharType="end"/>
          </w:r>
          <w:r>
            <w:rPr>
              <w:rFonts w:hint="eastAsia" w:ascii="Times New Roman" w:hAnsi="Times New Roman" w:eastAsia="Times New Roman" w:cs="Times New Roman"/>
              <w:spacing w:val="-32"/>
              <w:sz w:val="30"/>
              <w:szCs w:val="30"/>
              <w:lang w:val="en-US" w:eastAsia="zh-CN"/>
            </w:rPr>
            <w:t>0</w:t>
          </w:r>
        </w:p>
        <w:p>
          <w:pPr>
            <w:keepNext w:val="0"/>
            <w:keepLines w:val="0"/>
            <w:pageBreakBefore w:val="0"/>
            <w:widowControl/>
            <w:tabs>
              <w:tab w:val="right" w:leader="dot" w:pos="8657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640" w:lineRule="exact"/>
            <w:ind w:left="495"/>
            <w:textAlignment w:val="baseline"/>
            <w:rPr>
              <w:rFonts w:hint="eastAsia" w:ascii="Times New Roman" w:hAnsi="Times New Roman" w:eastAsia="宋体" w:cs="Times New Roman"/>
              <w:sz w:val="30"/>
              <w:szCs w:val="30"/>
              <w:lang w:eastAsia="zh-CN"/>
            </w:rPr>
          </w:pPr>
          <w:bookmarkStart w:id="11" w:name="bookmark13"/>
          <w:bookmarkEnd w:id="11"/>
          <w:r>
            <w:rPr>
              <w:rFonts w:hint="eastAsia" w:ascii="仿宋_GB2312" w:hAnsi="仿宋_GB2312" w:eastAsia="仿宋_GB2312" w:cs="仿宋_GB2312"/>
              <w:spacing w:val="12"/>
              <w:sz w:val="30"/>
              <w:szCs w:val="30"/>
            </w:rPr>
            <w:t>七、政府性基金预算支出表</w:t>
          </w:r>
          <w:r>
            <w:rPr>
              <w:rFonts w:ascii="方正仿宋_GBK" w:hAnsi="方正仿宋_GBK" w:eastAsia="方正仿宋_GBK" w:cs="方正仿宋_GBK"/>
              <w:spacing w:val="-98"/>
              <w:position w:val="4"/>
              <w:sz w:val="30"/>
              <w:szCs w:val="30"/>
            </w:rPr>
            <w:t xml:space="preserve"> </w:t>
          </w:r>
          <w:r>
            <w:rPr>
              <w:rFonts w:ascii="方正仿宋_GBK" w:hAnsi="方正仿宋_GBK" w:eastAsia="方正仿宋_GBK" w:cs="方正仿宋_GBK"/>
              <w:position w:val="4"/>
              <w:sz w:val="30"/>
              <w:szCs w:val="30"/>
            </w:rPr>
            <w:tab/>
          </w:r>
          <w:r>
            <w:rPr>
              <w:rFonts w:ascii="方正仿宋_GBK" w:hAnsi="方正仿宋_GBK" w:eastAsia="方正仿宋_GBK" w:cs="方正仿宋_GBK"/>
              <w:spacing w:val="-4"/>
              <w:position w:val="4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fldChar w:fldCharType="begin"/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instrText xml:space="preserve"> HYPERLINK \l "bookmark14" </w:instrTex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fldChar w:fldCharType="end"/>
          </w:r>
          <w:r>
            <w:rPr>
              <w:rFonts w:hint="eastAsia" w:ascii="Times New Roman" w:hAnsi="Times New Roman" w:eastAsia="Times New Roman" w:cs="Times New Roman"/>
              <w:spacing w:val="-32"/>
              <w:sz w:val="30"/>
              <w:szCs w:val="30"/>
              <w:lang w:val="en-US" w:eastAsia="zh-CN"/>
            </w:rPr>
            <w:t>2</w:t>
          </w:r>
        </w:p>
        <w:p>
          <w:pPr>
            <w:keepNext w:val="0"/>
            <w:keepLines w:val="0"/>
            <w:pageBreakBefore w:val="0"/>
            <w:widowControl/>
            <w:tabs>
              <w:tab w:val="right" w:leader="dot" w:pos="8657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640" w:lineRule="exact"/>
            <w:ind w:left="475"/>
            <w:textAlignment w:val="baseline"/>
            <w:rPr>
              <w:rFonts w:hint="eastAsia" w:ascii="Times New Roman" w:hAnsi="Times New Roman" w:eastAsia="宋体" w:cs="Times New Roman"/>
              <w:sz w:val="30"/>
              <w:szCs w:val="30"/>
              <w:lang w:eastAsia="zh-CN"/>
            </w:rPr>
          </w:pPr>
          <w:bookmarkStart w:id="12" w:name="bookmark15"/>
          <w:bookmarkEnd w:id="12"/>
          <w:r>
            <w:rPr>
              <w:rFonts w:hint="eastAsia" w:ascii="仿宋_GB2312" w:hAnsi="仿宋_GB2312" w:eastAsia="仿宋_GB2312" w:cs="仿宋_GB2312"/>
              <w:spacing w:val="12"/>
              <w:sz w:val="30"/>
              <w:szCs w:val="30"/>
            </w:rPr>
            <w:t>八、 国有资本经营预算支出表</w:t>
          </w:r>
          <w:r>
            <w:rPr>
              <w:rFonts w:ascii="方正仿宋_GBK" w:hAnsi="方正仿宋_GBK" w:eastAsia="方正仿宋_GBK" w:cs="方正仿宋_GBK"/>
              <w:spacing w:val="-103"/>
              <w:position w:val="4"/>
              <w:sz w:val="30"/>
              <w:szCs w:val="30"/>
            </w:rPr>
            <w:t xml:space="preserve"> </w:t>
          </w:r>
          <w:r>
            <w:rPr>
              <w:rFonts w:ascii="方正仿宋_GBK" w:hAnsi="方正仿宋_GBK" w:eastAsia="方正仿宋_GBK" w:cs="方正仿宋_GBK"/>
              <w:position w:val="4"/>
              <w:sz w:val="30"/>
              <w:szCs w:val="30"/>
            </w:rPr>
            <w:tab/>
          </w:r>
          <w:r>
            <w:rPr>
              <w:rFonts w:ascii="方正仿宋_GBK" w:hAnsi="方正仿宋_GBK" w:eastAsia="方正仿宋_GBK" w:cs="方正仿宋_GBK"/>
              <w:spacing w:val="-83"/>
              <w:position w:val="4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fldChar w:fldCharType="begin"/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instrText xml:space="preserve"> HYPERLINK \l "bookmark16" </w:instrTex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fldChar w:fldCharType="end"/>
          </w:r>
          <w:r>
            <w:rPr>
              <w:rFonts w:hint="eastAsia" w:ascii="Times New Roman" w:hAnsi="Times New Roman" w:eastAsia="Times New Roman" w:cs="Times New Roman"/>
              <w:spacing w:val="-32"/>
              <w:sz w:val="30"/>
              <w:szCs w:val="30"/>
              <w:lang w:val="en-US" w:eastAsia="zh-CN"/>
            </w:rPr>
            <w:t>3</w:t>
          </w:r>
        </w:p>
        <w:p>
          <w:pPr>
            <w:keepNext w:val="0"/>
            <w:keepLines w:val="0"/>
            <w:pageBreakBefore w:val="0"/>
            <w:widowControl/>
            <w:tabs>
              <w:tab w:val="right" w:leader="dot" w:pos="8657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640" w:lineRule="exact"/>
            <w:ind w:left="489"/>
            <w:textAlignment w:val="baseline"/>
            <w:rPr>
              <w:rFonts w:hint="eastAsia" w:ascii="Times New Roman" w:hAnsi="Times New Roman" w:eastAsia="Times New Roman" w:cs="Times New Roman"/>
              <w:spacing w:val="-32"/>
              <w:sz w:val="30"/>
              <w:szCs w:val="30"/>
              <w:lang w:eastAsia="zh-CN"/>
            </w:rPr>
          </w:pPr>
          <w:bookmarkStart w:id="13" w:name="bookmark17"/>
          <w:bookmarkEnd w:id="13"/>
          <w:r>
            <w:rPr>
              <w:rFonts w:hint="eastAsia" w:ascii="仿宋_GB2312" w:hAnsi="仿宋_GB2312" w:eastAsia="仿宋_GB2312" w:cs="仿宋_GB2312"/>
              <w:spacing w:val="12"/>
              <w:sz w:val="30"/>
              <w:szCs w:val="30"/>
            </w:rPr>
            <w:t xml:space="preserve">九、财政拨款预算“ 三公” 经费支出表 </w:t>
          </w:r>
          <w:r>
            <w:rPr>
              <w:rFonts w:ascii="方正仿宋_GBK" w:hAnsi="方正仿宋_GBK" w:eastAsia="方正仿宋_GBK" w:cs="方正仿宋_GBK"/>
              <w:position w:val="4"/>
              <w:sz w:val="30"/>
              <w:szCs w:val="30"/>
            </w:rPr>
            <w:tab/>
          </w:r>
          <w:r>
            <w:rPr>
              <w:rFonts w:ascii="方正仿宋_GBK" w:hAnsi="方正仿宋_GBK" w:eastAsia="方正仿宋_GBK" w:cs="方正仿宋_GBK"/>
              <w:spacing w:val="-33"/>
              <w:position w:val="4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fldChar w:fldCharType="begin"/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instrText xml:space="preserve"> HYPERLINK \l "bookmark18" </w:instrTex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fldChar w:fldCharType="end"/>
          </w:r>
          <w:r>
            <w:rPr>
              <w:rFonts w:hint="eastAsia" w:ascii="Times New Roman" w:hAnsi="Times New Roman" w:eastAsia="Times New Roman" w:cs="Times New Roman"/>
              <w:spacing w:val="-32"/>
              <w:sz w:val="30"/>
              <w:szCs w:val="30"/>
              <w:lang w:val="en-US" w:eastAsia="zh-CN"/>
            </w:rPr>
            <w:t>4</w:t>
          </w:r>
        </w:p>
        <w:p>
          <w:pPr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640" w:lineRule="exact"/>
            <w:ind w:right="10"/>
            <w:jc w:val="right"/>
            <w:textAlignment w:val="baseline"/>
            <w:rPr>
              <w:rFonts w:hint="eastAsia" w:ascii="Times New Roman" w:hAnsi="Times New Roman" w:eastAsia="宋体" w:cs="Times New Roman"/>
              <w:sz w:val="30"/>
              <w:szCs w:val="30"/>
              <w:lang w:eastAsia="zh-CN"/>
            </w:rPr>
          </w:pPr>
          <w:bookmarkStart w:id="14" w:name="bookmark19"/>
          <w:bookmarkEnd w:id="14"/>
          <w:r>
            <w:rPr>
              <w:rFonts w:hint="eastAsia" w:ascii="方正黑体_GBK" w:hAnsi="方正黑体_GBK" w:eastAsia="方正黑体_GBK" w:cs="方正黑体_GBK"/>
              <w:spacing w:val="12"/>
              <w:sz w:val="30"/>
              <w:szCs w:val="30"/>
              <w:lang w:val="en-US" w:eastAsia="zh-CN"/>
            </w:rPr>
            <w:t xml:space="preserve">  </w:t>
          </w:r>
          <w:r>
            <w:rPr>
              <w:rFonts w:hint="eastAsia" w:ascii="方正黑体_GBK" w:hAnsi="方正黑体_GBK" w:eastAsia="方正黑体_GBK" w:cs="方正黑体_GBK"/>
              <w:spacing w:val="12"/>
              <w:sz w:val="30"/>
              <w:szCs w:val="30"/>
              <w:lang w:eastAsia="zh-CN"/>
            </w:rPr>
            <w:t>第三部分</w:t>
          </w:r>
          <w:r>
            <w:rPr>
              <w:rFonts w:hint="eastAsia" w:ascii="仿宋_GB2312" w:hAnsi="仿宋_GB2312" w:eastAsia="仿宋_GB2312" w:cs="仿宋_GB2312"/>
              <w:spacing w:val="12"/>
              <w:sz w:val="30"/>
              <w:szCs w:val="30"/>
            </w:rPr>
            <w:t xml:space="preserve"> </w:t>
          </w:r>
          <w:r>
            <w:rPr>
              <w:rFonts w:hint="eastAsia" w:ascii="方正黑体_GBK" w:hAnsi="方正黑体_GBK" w:eastAsia="方正黑体_GBK" w:cs="方正黑体_GBK"/>
              <w:spacing w:val="12"/>
              <w:sz w:val="30"/>
              <w:szCs w:val="30"/>
              <w:lang w:eastAsia="zh-CN"/>
            </w:rPr>
            <w:t>镇原县消防救援大队</w:t>
          </w:r>
          <w:r>
            <w:rPr>
              <w:rFonts w:hint="eastAsia" w:ascii="方正黑体_GBK" w:hAnsi="方正黑体_GBK" w:eastAsia="方正黑体_GBK" w:cs="方正黑体_GBK"/>
              <w:spacing w:val="12"/>
              <w:sz w:val="30"/>
              <w:szCs w:val="30"/>
            </w:rPr>
            <w:t>2024年部门预算情况说明</w:t>
          </w:r>
          <w:r>
            <w:rPr>
              <w:rFonts w:ascii="方正黑体_GBK" w:hAnsi="方正黑体_GBK" w:eastAsia="方正黑体_GBK" w:cs="方正黑体_GBK"/>
              <w:spacing w:val="84"/>
              <w:position w:val="3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fldChar w:fldCharType="begin"/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instrText xml:space="preserve"> HYPERLINK \l "bookmark20" </w:instrTex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fldChar w:fldCharType="separate"/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t>1</w: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fldChar w:fldCharType="end"/>
          </w:r>
          <w:r>
            <w:rPr>
              <w:rFonts w:hint="eastAsia" w:ascii="Times New Roman" w:hAnsi="Times New Roman" w:eastAsia="Times New Roman" w:cs="Times New Roman"/>
              <w:spacing w:val="-32"/>
              <w:sz w:val="30"/>
              <w:szCs w:val="30"/>
              <w:lang w:val="en-US" w:eastAsia="zh-CN"/>
            </w:rPr>
            <w:t>5</w:t>
          </w:r>
        </w:p>
        <w:p>
          <w:pPr>
            <w:keepNext w:val="0"/>
            <w:keepLines w:val="0"/>
            <w:pageBreakBefore w:val="0"/>
            <w:widowControl/>
            <w:tabs>
              <w:tab w:val="right" w:leader="dot" w:pos="86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640" w:lineRule="exact"/>
            <w:ind w:left="471"/>
            <w:textAlignment w:val="baseline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15" w:name="bookmark21"/>
          <w:bookmarkEnd w:id="15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hint="eastAsia" w:ascii="方正黑体_GBK" w:hAnsi="方正黑体_GBK" w:eastAsia="方正黑体_GBK" w:cs="方正黑体_GBK"/>
              <w:spacing w:val="12"/>
              <w:sz w:val="30"/>
              <w:szCs w:val="30"/>
              <w:lang w:eastAsia="zh-CN"/>
            </w:rPr>
            <w:t>第四部分</w:t>
          </w:r>
          <w:r>
            <w:rPr>
              <w:rFonts w:hint="eastAsia" w:ascii="仿宋_GB2312" w:hAnsi="仿宋_GB2312" w:eastAsia="仿宋_GB2312" w:cs="仿宋_GB2312"/>
              <w:spacing w:val="12"/>
              <w:sz w:val="30"/>
              <w:szCs w:val="30"/>
            </w:rPr>
            <w:t xml:space="preserve">  </w:t>
          </w:r>
          <w:r>
            <w:rPr>
              <w:rFonts w:hint="eastAsia" w:ascii="方正黑体_GBK" w:hAnsi="方正黑体_GBK" w:eastAsia="方正黑体_GBK" w:cs="方正黑体_GBK"/>
              <w:spacing w:val="12"/>
              <w:sz w:val="30"/>
              <w:szCs w:val="30"/>
            </w:rPr>
            <w:t>名词解释</w:t>
          </w:r>
          <w:r>
            <w:rPr>
              <w:rFonts w:hint="eastAsia" w:ascii="仿宋_GB2312" w:hAnsi="仿宋_GB2312" w:eastAsia="仿宋_GB2312" w:cs="仿宋_GB2312"/>
              <w:spacing w:val="12"/>
              <w:sz w:val="30"/>
              <w:szCs w:val="30"/>
            </w:rPr>
            <w:t xml:space="preserve"> </w:t>
          </w:r>
          <w:r>
            <w:rPr>
              <w:rFonts w:ascii="方正黑体_GBK" w:hAnsi="方正黑体_GBK" w:eastAsia="方正黑体_GBK" w:cs="方正黑体_GBK"/>
              <w:sz w:val="30"/>
              <w:szCs w:val="30"/>
            </w:rPr>
            <w:tab/>
          </w:r>
          <w:r>
            <w:rPr>
              <w:rFonts w:ascii="方正黑体_GBK" w:hAnsi="方正黑体_GBK" w:eastAsia="方正黑体_GBK" w:cs="方正黑体_GBK"/>
              <w:spacing w:val="7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t>2</w:t>
          </w:r>
          <w:r>
            <w:rPr>
              <w:rFonts w:hint="eastAsia" w:ascii="Times New Roman" w:hAnsi="Times New Roman" w:eastAsia="Times New Roman" w:cs="Times New Roman"/>
              <w:spacing w:val="-32"/>
              <w:sz w:val="30"/>
              <w:szCs w:val="30"/>
              <w:lang w:val="en-US" w:eastAsia="zh-CN"/>
            </w:rPr>
            <w:t>0</w:t>
          </w:r>
          <w:r>
            <w:rPr>
              <w:rFonts w:ascii="Times New Roman" w:hAnsi="Times New Roman" w:eastAsia="Times New Roman" w:cs="Times New Roman"/>
              <w:spacing w:val="1"/>
              <w:sz w:val="30"/>
              <w:szCs w:val="30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tabs>
              <w:tab w:val="right" w:leader="dot" w:pos="86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640" w:lineRule="exact"/>
            <w:ind w:left="471"/>
            <w:textAlignment w:val="baseline"/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id="16" w:name="bookmark22"/>
          <w:bookmarkEnd w:id="16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hint="eastAsia" w:ascii="方正黑体_GBK" w:hAnsi="方正黑体_GBK" w:eastAsia="方正黑体_GBK" w:cs="方正黑体_GBK"/>
              <w:spacing w:val="12"/>
              <w:sz w:val="30"/>
              <w:szCs w:val="30"/>
              <w:lang w:eastAsia="zh-CN"/>
            </w:rPr>
            <w:t>第五部分</w:t>
          </w:r>
          <w:r>
            <w:rPr>
              <w:rFonts w:hint="eastAsia" w:ascii="仿宋_GB2312" w:hAnsi="仿宋_GB2312" w:eastAsia="仿宋_GB2312" w:cs="仿宋_GB2312"/>
              <w:spacing w:val="12"/>
              <w:sz w:val="30"/>
              <w:szCs w:val="30"/>
            </w:rPr>
            <w:t xml:space="preserve"> </w:t>
          </w:r>
          <w:r>
            <w:rPr>
              <w:rFonts w:hint="eastAsia" w:ascii="方正黑体_GBK" w:hAnsi="方正黑体_GBK" w:eastAsia="方正黑体_GBK" w:cs="方正黑体_GBK"/>
              <w:spacing w:val="12"/>
              <w:sz w:val="30"/>
              <w:szCs w:val="30"/>
            </w:rPr>
            <w:t xml:space="preserve"> 附件</w:t>
          </w:r>
          <w:r>
            <w:rPr>
              <w:rFonts w:ascii="方正黑体_GBK" w:hAnsi="方正黑体_GBK" w:eastAsia="方正黑体_GBK" w:cs="方正黑体_GBK"/>
              <w:spacing w:val="-46"/>
              <w:sz w:val="30"/>
              <w:szCs w:val="30"/>
            </w:rPr>
            <w:t xml:space="preserve"> </w:t>
          </w:r>
          <w:r>
            <w:rPr>
              <w:rFonts w:ascii="方正黑体_GBK" w:hAnsi="方正黑体_GBK" w:eastAsia="方正黑体_GBK" w:cs="方正黑体_GBK"/>
              <w:sz w:val="30"/>
              <w:szCs w:val="30"/>
            </w:rPr>
            <w:tab/>
          </w:r>
          <w:r>
            <w:rPr>
              <w:rFonts w:ascii="方正黑体_GBK" w:hAnsi="方正黑体_GBK" w:eastAsia="方正黑体_GBK" w:cs="方正黑体_GBK"/>
              <w:spacing w:val="32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2"/>
              <w:sz w:val="30"/>
              <w:szCs w:val="30"/>
            </w:rPr>
            <w:t>2</w:t>
          </w:r>
          <w:r>
            <w:rPr>
              <w:rFonts w:hint="eastAsia" w:ascii="Times New Roman" w:hAnsi="Times New Roman" w:eastAsia="Times New Roman" w:cs="Times New Roman"/>
              <w:spacing w:val="-32"/>
              <w:sz w:val="30"/>
              <w:szCs w:val="30"/>
              <w:lang w:val="en-US" w:eastAsia="zh-CN"/>
            </w:rPr>
            <w:t>5</w:t>
          </w:r>
          <w:r>
            <w:rPr>
              <w:rFonts w:ascii="Times New Roman" w:hAnsi="Times New Roman" w:eastAsia="Times New Roman" w:cs="Times New Roman"/>
              <w:spacing w:val="1"/>
              <w:sz w:val="30"/>
              <w:szCs w:val="30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ascii="Times New Roman" w:hAnsi="Times New Roman" w:eastAsia="Times New Roman" w:cs="Times New Roman"/>
          <w:sz w:val="30"/>
          <w:szCs w:val="30"/>
        </w:rPr>
        <w:sectPr>
          <w:footerReference r:id="rId6" w:type="default"/>
          <w:pgSz w:w="11906" w:h="16840"/>
          <w:pgMar w:top="400" w:right="1442" w:bottom="0" w:left="1785" w:header="0" w:footer="227" w:gutter="0"/>
          <w:pgNumType w:fmt="numberInDash" w:start="1"/>
          <w:cols w:space="720" w:num="1"/>
        </w:sectPr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2" w:lineRule="auto"/>
      </w:pPr>
    </w:p>
    <w:p>
      <w:pPr>
        <w:pStyle w:val="4"/>
        <w:spacing w:line="242" w:lineRule="auto"/>
        <w:rPr>
          <w:rFonts w:hint="eastAsia" w:ascii="方正小标宋_GBK" w:hAnsi="方正小标宋_GBK" w:eastAsia="方正小标宋_GBK" w:cs="方正小标宋_GBK"/>
        </w:rPr>
      </w:pPr>
    </w:p>
    <w:p>
      <w:pPr>
        <w:spacing w:before="223" w:line="183" w:lineRule="auto"/>
        <w:ind w:left="1162"/>
        <w:outlineLvl w:val="0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-48260</wp:posOffset>
                </wp:positionV>
                <wp:extent cx="7560310" cy="2277110"/>
                <wp:effectExtent l="0" t="0" r="0" b="0"/>
                <wp:wrapNone/>
                <wp:docPr id="6" name="R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-48297"/>
                          <a:ext cx="7560309" cy="227711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745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6" o:spid="_x0000_s1026" o:spt="1" style="position:absolute;left:0pt;margin-left:0pt;margin-top:-3.8pt;height:179.3pt;width:595.3pt;z-index:-251656192;mso-width-relative:page;mso-height-relative:page;" fillcolor="#92D050" filled="t" stroked="f" coordsize="21600,21600" o:gfxdata="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6TODtYAAAAIAQAADwAAAAAAAAABACAAAAAiAAAAZHJzL2Rv&#10;d25yZXYueG1sUEsBAhQAFAAAAAgAh07iQCehADo8AgAAiQQAAA4AAAAAAAAAAQAgAAAAJQEAAGRy&#10;cy9lMm9Eb2MueG1sUEsFBgAAAAAGAAYAWQEAANMFAAAAAA==&#10;">
                <v:fill on="t" opacity="57311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bookmarkStart w:id="17" w:name="bookmark2"/>
      <w:bookmarkEnd w:id="17"/>
      <w:bookmarkStart w:id="18" w:name="bookmark4"/>
      <w:bookmarkEnd w:id="18"/>
      <w:r>
        <w:rPr>
          <w:rFonts w:hint="eastAsia" w:ascii="方正小标宋_GBK" w:hAnsi="方正小标宋_GBK" w:eastAsia="方正小标宋_GBK" w:cs="方正小标宋_GBK"/>
          <w:spacing w:val="-2"/>
          <w:sz w:val="52"/>
          <w:szCs w:val="52"/>
        </w:rPr>
        <w:t>第一部分</w:t>
      </w:r>
    </w:p>
    <w:p>
      <w:pPr>
        <w:spacing w:before="477" w:line="185" w:lineRule="auto"/>
        <w:ind w:left="2168"/>
        <w:outlineLvl w:val="0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bookmarkStart w:id="19" w:name="bookmark2"/>
      <w:bookmarkEnd w:id="19"/>
      <w:r>
        <w:rPr>
          <w:rFonts w:hint="eastAsia" w:ascii="方正小标宋_GBK" w:hAnsi="方正小标宋_GBK" w:eastAsia="方正小标宋_GBK" w:cs="方正小标宋_GBK"/>
          <w:spacing w:val="12"/>
          <w:sz w:val="70"/>
          <w:szCs w:val="70"/>
          <w:lang w:eastAsia="zh-CN"/>
        </w:rPr>
        <w:t>镇原县消防救援大队</w:t>
      </w:r>
      <w:r>
        <w:rPr>
          <w:rFonts w:hint="eastAsia" w:ascii="方正小标宋_GBK" w:hAnsi="方正小标宋_GBK" w:eastAsia="方正小标宋_GBK" w:cs="方正小标宋_GBK"/>
          <w:spacing w:val="12"/>
          <w:sz w:val="70"/>
          <w:szCs w:val="70"/>
        </w:rPr>
        <w:t>概况</w:t>
      </w:r>
    </w:p>
    <w:p>
      <w:pPr>
        <w:spacing w:line="185" w:lineRule="auto"/>
        <w:rPr>
          <w:rFonts w:ascii="微软雅黑" w:hAnsi="微软雅黑" w:eastAsia="微软雅黑" w:cs="微软雅黑"/>
          <w:sz w:val="70"/>
          <w:szCs w:val="70"/>
        </w:rPr>
        <w:sectPr>
          <w:footerReference r:id="rId7" w:type="default"/>
          <w:pgSz w:w="11906" w:h="16840"/>
          <w:pgMar w:top="400" w:right="0" w:bottom="1081" w:left="0" w:header="0" w:footer="624" w:gutter="0"/>
          <w:pgNumType w:fmt="numberInDash" w:start="1"/>
          <w:cols w:space="720" w:num="1"/>
        </w:sectPr>
      </w:pPr>
    </w:p>
    <w:p>
      <w:pPr>
        <w:pStyle w:val="4"/>
        <w:spacing w:line="273" w:lineRule="auto"/>
      </w:pPr>
    </w:p>
    <w:p>
      <w:pPr>
        <w:pStyle w:val="4"/>
        <w:spacing w:line="273" w:lineRule="auto"/>
      </w:pPr>
    </w:p>
    <w:p>
      <w:pPr>
        <w:spacing w:before="154" w:line="206" w:lineRule="auto"/>
        <w:ind w:left="8"/>
        <w:rPr>
          <w:rFonts w:ascii="方正小标宋_GBK" w:hAnsi="方正小标宋_GBK" w:eastAsia="方正小标宋_GBK" w:cs="方正小标宋_GBK"/>
          <w:sz w:val="40"/>
          <w:szCs w:val="40"/>
        </w:rPr>
      </w:pPr>
      <w:bookmarkStart w:id="20" w:name="bookmark23"/>
      <w:bookmarkEnd w:id="20"/>
      <w:r>
        <w:rPr>
          <w:rFonts w:hint="eastAsia" w:ascii="方正小标宋_GBK" w:hAnsi="方正小标宋_GBK" w:eastAsia="方正小标宋_GBK" w:cs="方正小标宋_GBK"/>
          <w:spacing w:val="-3"/>
          <w:sz w:val="40"/>
          <w:szCs w:val="40"/>
          <w:lang w:eastAsia="zh-CN"/>
        </w:rPr>
        <w:t>镇原县消防救援大队</w:t>
      </w:r>
      <w:r>
        <w:rPr>
          <w:rFonts w:ascii="方正小标宋_GBK" w:hAnsi="方正小标宋_GBK" w:eastAsia="方正小标宋_GBK" w:cs="方正小标宋_GBK"/>
          <w:spacing w:val="-3"/>
          <w:sz w:val="40"/>
          <w:szCs w:val="4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40"/>
          <w:szCs w:val="40"/>
        </w:rPr>
        <w:t xml:space="preserve">2024 </w:t>
      </w:r>
      <w:r>
        <w:rPr>
          <w:rFonts w:ascii="方正小标宋_GBK" w:hAnsi="方正小标宋_GBK" w:eastAsia="方正小标宋_GBK" w:cs="方正小标宋_GBK"/>
          <w:spacing w:val="-3"/>
          <w:sz w:val="40"/>
          <w:szCs w:val="40"/>
        </w:rPr>
        <w:t xml:space="preserve">年部门预算 </w:t>
      </w:r>
      <w:r>
        <w:rPr>
          <w:sz w:val="40"/>
          <w:szCs w:val="40"/>
        </w:rPr>
        <w:drawing>
          <wp:inline distT="0" distB="0" distL="0" distR="0">
            <wp:extent cx="187325" cy="19939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7452" cy="19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_GBK" w:hAnsi="方正小标宋_GBK" w:eastAsia="方正小标宋_GBK" w:cs="方正小标宋_GBK"/>
          <w:spacing w:val="80"/>
          <w:sz w:val="40"/>
          <w:szCs w:val="40"/>
        </w:rPr>
        <w:t xml:space="preserve"> </w:t>
      </w:r>
      <w:r>
        <w:rPr>
          <w:rFonts w:ascii="方正小标宋_GBK" w:hAnsi="方正小标宋_GBK" w:eastAsia="方正小标宋_GBK" w:cs="方正小标宋_GBK"/>
          <w:spacing w:val="-3"/>
          <w:sz w:val="40"/>
          <w:szCs w:val="40"/>
        </w:rPr>
        <w:t>部门概况</w:t>
      </w:r>
    </w:p>
    <w:p>
      <w:pPr>
        <w:pStyle w:val="4"/>
        <w:spacing w:line="362" w:lineRule="auto"/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644"/>
        <w:outlineLvl w:val="0"/>
        <w:rPr>
          <w:rFonts w:ascii="方正黑体_GBK" w:hAnsi="方正黑体_GBK" w:eastAsia="方正黑体_GBK" w:cs="方正黑体_GBK"/>
          <w:sz w:val="30"/>
          <w:szCs w:val="30"/>
        </w:rPr>
      </w:pPr>
      <w:bookmarkStart w:id="21" w:name="bookmark1"/>
      <w:bookmarkEnd w:id="21"/>
      <w:r>
        <w:rPr>
          <w:rFonts w:ascii="方正黑体_GBK" w:hAnsi="方正黑体_GBK" w:eastAsia="方正黑体_GBK" w:cs="方正黑体_GBK"/>
          <w:spacing w:val="-2"/>
          <w:sz w:val="30"/>
          <w:szCs w:val="30"/>
        </w:rPr>
        <w:t>一</w:t>
      </w:r>
      <w:r>
        <w:rPr>
          <w:rFonts w:ascii="方正黑体_GBK" w:hAnsi="方正黑体_GBK" w:eastAsia="方正黑体_GBK" w:cs="方正黑体_GBK"/>
          <w:spacing w:val="-46"/>
          <w:sz w:val="30"/>
          <w:szCs w:val="30"/>
        </w:rPr>
        <w:t xml:space="preserve"> </w:t>
      </w:r>
      <w:r>
        <w:rPr>
          <w:rFonts w:ascii="方正黑体_GBK" w:hAnsi="方正黑体_GBK" w:eastAsia="方正黑体_GBK" w:cs="方正黑体_GBK"/>
          <w:spacing w:val="-2"/>
          <w:sz w:val="30"/>
          <w:szCs w:val="30"/>
        </w:rPr>
        <w:t>、</w:t>
      </w:r>
      <w:r>
        <w:rPr>
          <w:rFonts w:ascii="方正黑体_GBK" w:hAnsi="方正黑体_GBK" w:eastAsia="方正黑体_GBK" w:cs="方正黑体_GBK"/>
          <w:spacing w:val="-40"/>
          <w:sz w:val="30"/>
          <w:szCs w:val="30"/>
        </w:rPr>
        <w:t xml:space="preserve"> </w:t>
      </w:r>
      <w:r>
        <w:rPr>
          <w:rFonts w:ascii="方正黑体_GBK" w:hAnsi="方正黑体_GBK" w:eastAsia="方正黑体_GBK" w:cs="方正黑体_GBK"/>
          <w:spacing w:val="-2"/>
          <w:sz w:val="30"/>
          <w:szCs w:val="30"/>
        </w:rPr>
        <w:t>部门职责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en-US" w:eastAsia="zh-CN"/>
        </w:rPr>
        <w:t>国家综合性消防救援队伍承担防范化解重大安全风险、应对处置各类灾害事故的重要职责，是应急救援的主力军和国家队。镇原县消防救援大队隶属庆阳市消防救援支队，承担《中华人民共和国消防法》及其他相关法律法规赋予的火灾预防、消防监督执法、灭火和应急救援等社会管理、公共服务职能，依据有关法律法规履行下列职责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en-US" w:eastAsia="zh-CN"/>
        </w:rPr>
        <w:t>1.承担责任区消防安全宣传教育培训，普及消防知识。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en-US" w:eastAsia="zh-CN"/>
        </w:rPr>
        <w:t>2.定期进行消防安全检查，督促有关单位和个人落实防火责任制，及时消除火灾隐患。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en-US" w:eastAsia="zh-CN"/>
        </w:rPr>
        <w:t>3.制定消防安全重点单位、重点部位的事故处置和灭火作战预案，定期组织演练。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en-US" w:eastAsia="zh-CN"/>
        </w:rPr>
        <w:t>4.灭火及抢险救援，协助有关部门调查事故原因、处理事故。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en-US" w:eastAsia="zh-CN"/>
        </w:rPr>
        <w:t>5.负责消防救援信息化和应急通信建设，承担综合性消防救援行动应急通信保障工作。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en-US" w:eastAsia="zh-CN"/>
        </w:rPr>
        <w:t>6.完</w:t>
      </w:r>
      <w:r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</w:rPr>
        <w:t>成</w:t>
      </w:r>
      <w:r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en-US" w:eastAsia="zh-CN"/>
        </w:rPr>
        <w:t>庆阳市消防救援支队</w:t>
      </w:r>
      <w:r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</w:rPr>
        <w:t>和</w:t>
      </w:r>
      <w:r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en-US" w:eastAsia="zh-CN"/>
        </w:rPr>
        <w:t>县</w:t>
      </w:r>
      <w:r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</w:rPr>
        <w:t>党委政府交办的相关职能任务</w:t>
      </w:r>
      <w:r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643"/>
        <w:outlineLvl w:val="0"/>
        <w:rPr>
          <w:rFonts w:ascii="方正黑体_GBK" w:hAnsi="方正黑体_GBK" w:eastAsia="方正黑体_GBK" w:cs="方正黑体_GBK"/>
          <w:sz w:val="30"/>
          <w:szCs w:val="30"/>
        </w:rPr>
      </w:pPr>
      <w:bookmarkStart w:id="22" w:name="bookmark3"/>
      <w:bookmarkEnd w:id="22"/>
      <w:bookmarkStart w:id="23" w:name="bookmark24"/>
      <w:bookmarkEnd w:id="23"/>
      <w:r>
        <w:rPr>
          <w:rFonts w:ascii="方正黑体_GBK" w:hAnsi="方正黑体_GBK" w:eastAsia="方正黑体_GBK" w:cs="方正黑体_GBK"/>
          <w:spacing w:val="2"/>
          <w:sz w:val="30"/>
          <w:szCs w:val="30"/>
        </w:rPr>
        <w:t>二</w:t>
      </w:r>
      <w:r>
        <w:rPr>
          <w:rFonts w:ascii="方正黑体_GBK" w:hAnsi="方正黑体_GBK" w:eastAsia="方正黑体_GBK" w:cs="方正黑体_GBK"/>
          <w:spacing w:val="-50"/>
          <w:sz w:val="30"/>
          <w:szCs w:val="30"/>
        </w:rPr>
        <w:t xml:space="preserve"> </w:t>
      </w:r>
      <w:r>
        <w:rPr>
          <w:rFonts w:ascii="方正黑体_GBK" w:hAnsi="方正黑体_GBK" w:eastAsia="方正黑体_GBK" w:cs="方正黑体_GBK"/>
          <w:spacing w:val="2"/>
          <w:sz w:val="30"/>
          <w:szCs w:val="30"/>
        </w:rPr>
        <w:t>、 机构设置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en-US" w:eastAsia="zh-CN"/>
        </w:rPr>
        <w:t>镇原县消防救援大队为四级预算单位，独立核算机构数1个。截止2023年底，单位在职人员47人，其中行政编人员24人，</w:t>
      </w:r>
      <w:r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zh-CN" w:eastAsia="zh-CN"/>
        </w:rPr>
        <w:t>消防文员</w:t>
      </w:r>
      <w:r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zh-CN" w:eastAsia="zh-CN"/>
        </w:rPr>
        <w:t>人，政府专职消防员</w:t>
      </w:r>
      <w:r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color w:val="auto"/>
          <w:sz w:val="30"/>
          <w:szCs w:val="30"/>
          <w:highlight w:val="none"/>
          <w:lang w:val="zh-CN" w:eastAsia="zh-CN"/>
        </w:rPr>
        <w:t>人。</w:t>
      </w:r>
    </w:p>
    <w:p>
      <w:pPr>
        <w:spacing w:before="136" w:line="301" w:lineRule="auto"/>
        <w:ind w:firstLine="645"/>
        <w:rPr>
          <w:rFonts w:hint="eastAsia" w:ascii="方正仿宋_GBK" w:hAnsi="方正仿宋_GBK" w:eastAsia="方正仿宋_GBK" w:cs="方正仿宋_GBK"/>
          <w:spacing w:val="12"/>
          <w:sz w:val="30"/>
          <w:szCs w:val="30"/>
          <w:lang w:eastAsia="zh-CN"/>
        </w:rPr>
      </w:pPr>
    </w:p>
    <w:p>
      <w:pPr>
        <w:spacing w:before="136" w:line="301" w:lineRule="auto"/>
        <w:ind w:firstLine="645"/>
        <w:rPr>
          <w:rFonts w:hint="eastAsia" w:ascii="方正仿宋_GBK" w:hAnsi="方正仿宋_GBK" w:eastAsia="方正仿宋_GBK" w:cs="方正仿宋_GBK"/>
          <w:spacing w:val="12"/>
          <w:sz w:val="30"/>
          <w:szCs w:val="30"/>
          <w:lang w:eastAsia="zh-CN"/>
        </w:rPr>
        <w:sectPr>
          <w:footerReference r:id="rId8" w:type="default"/>
          <w:pgSz w:w="11906" w:h="16839"/>
          <w:pgMar w:top="400" w:right="1473" w:bottom="1411" w:left="1599" w:header="0" w:footer="624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spacing w:before="136" w:line="301" w:lineRule="auto"/>
        <w:ind w:firstLine="645"/>
        <w:rPr>
          <w:rFonts w:hint="eastAsia" w:ascii="方正仿宋_GBK" w:hAnsi="方正仿宋_GBK" w:eastAsia="方正仿宋_GBK" w:cs="方正仿宋_GBK"/>
          <w:spacing w:val="12"/>
          <w:sz w:val="30"/>
          <w:szCs w:val="30"/>
          <w:lang w:eastAsia="zh-CN"/>
        </w:rPr>
      </w:pPr>
    </w:p>
    <w:p>
      <w:pPr>
        <w:spacing w:before="136" w:line="301" w:lineRule="auto"/>
        <w:ind w:firstLine="645"/>
        <w:rPr>
          <w:rFonts w:hint="eastAsia" w:ascii="方正仿宋_GBK" w:hAnsi="方正仿宋_GBK" w:eastAsia="方正仿宋_GBK" w:cs="方正仿宋_GBK"/>
          <w:spacing w:val="12"/>
          <w:sz w:val="30"/>
          <w:szCs w:val="30"/>
          <w:lang w:eastAsia="zh-CN"/>
        </w:rPr>
      </w:pPr>
    </w:p>
    <w:p>
      <w:pPr>
        <w:spacing w:before="136" w:line="301" w:lineRule="auto"/>
        <w:ind w:firstLine="645"/>
        <w:rPr>
          <w:rFonts w:hint="eastAsia" w:ascii="方正仿宋_GBK" w:hAnsi="方正仿宋_GBK" w:eastAsia="方正仿宋_GBK" w:cs="方正仿宋_GBK"/>
          <w:spacing w:val="12"/>
          <w:sz w:val="30"/>
          <w:szCs w:val="30"/>
          <w:lang w:eastAsia="zh-CN"/>
        </w:rPr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7548245" cy="889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5482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23" w:line="183" w:lineRule="auto"/>
        <w:ind w:left="1147"/>
        <w:outlineLvl w:val="0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-40005</wp:posOffset>
                </wp:positionV>
                <wp:extent cx="7548245" cy="2260600"/>
                <wp:effectExtent l="0" t="0" r="0" b="0"/>
                <wp:wrapNone/>
                <wp:docPr id="12" name="R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-40396"/>
                          <a:ext cx="7548244" cy="2260600"/>
                        </a:xfrm>
                        <a:prstGeom prst="rect">
                          <a:avLst/>
                        </a:prstGeom>
                        <a:solidFill>
                          <a:srgbClr val="9FD565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2" o:spid="_x0000_s1026" o:spt="1" style="position:absolute;left:0pt;margin-left:0pt;margin-top:-3.15pt;height:178pt;width:594.35pt;z-index:-251655168;mso-width-relative:page;mso-height-relative:page;" fillcolor="#9FD565" filled="t" stroked="f" coordsize="21600,21600" o:gfxdata="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u1D0nXAAAACAEAAA8AAAAAAAAAAQAgAAAAIgAAAGRycy9kb3ducmV2LnhtbFBL&#10;AQIUABQAAAAIAIdO4kBfgrfQMAIAAGoEAAAOAAAAAAAAAAEAIAAAACYBAABkcnMvZTJvRG9jLnht&#10;bFBLBQYAAAAABgAGAFkBAADIBQAAAAA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bookmarkStart w:id="24" w:name="bookmark25"/>
      <w:bookmarkEnd w:id="24"/>
      <w:bookmarkStart w:id="25" w:name="bookmark5"/>
      <w:bookmarkEnd w:id="25"/>
      <w:r>
        <w:rPr>
          <w:rFonts w:hint="eastAsia" w:ascii="方正小标宋_GBK" w:hAnsi="方正小标宋_GBK" w:eastAsia="方正小标宋_GBK" w:cs="方正小标宋_GBK"/>
          <w:spacing w:val="-2"/>
          <w:sz w:val="52"/>
          <w:szCs w:val="52"/>
        </w:rPr>
        <w:t>第二部分</w:t>
      </w:r>
    </w:p>
    <w:p>
      <w:pPr>
        <w:spacing w:before="471" w:line="185" w:lineRule="auto"/>
        <w:ind w:left="571"/>
        <w:outlineLvl w:val="0"/>
        <w:rPr>
          <w:rFonts w:hint="eastAsia" w:ascii="方正小标宋_GBK" w:hAnsi="方正小标宋_GBK" w:eastAsia="方正小标宋_GBK" w:cs="方正小标宋_GBK"/>
          <w:sz w:val="61"/>
          <w:szCs w:val="61"/>
        </w:rPr>
      </w:pPr>
      <w:r>
        <w:rPr>
          <w:rFonts w:hint="eastAsia" w:ascii="方正小标宋_GBK" w:hAnsi="方正小标宋_GBK" w:eastAsia="方正小标宋_GBK" w:cs="方正小标宋_GBK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1644015</wp:posOffset>
            </wp:positionV>
            <wp:extent cx="7548245" cy="889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54824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6" w:name="bookmark5"/>
      <w:bookmarkEnd w:id="26"/>
      <w:r>
        <w:rPr>
          <w:rFonts w:hint="eastAsia" w:ascii="方正小标宋_GBK" w:hAnsi="方正小标宋_GBK" w:eastAsia="方正小标宋_GBK" w:cs="方正小标宋_GBK"/>
          <w:spacing w:val="-3"/>
          <w:sz w:val="61"/>
          <w:szCs w:val="61"/>
          <w:lang w:eastAsia="zh-CN"/>
        </w:rPr>
        <w:t>镇原县消防救援大队</w:t>
      </w:r>
      <w:r>
        <w:rPr>
          <w:rFonts w:hint="eastAsia" w:ascii="方正小标宋_GBK" w:hAnsi="方正小标宋_GBK" w:eastAsia="方正小标宋_GBK" w:cs="方正小标宋_GBK"/>
          <w:spacing w:val="-3"/>
          <w:sz w:val="61"/>
          <w:szCs w:val="61"/>
        </w:rPr>
        <w:t xml:space="preserve"> 2024 年部门预算表</w:t>
      </w:r>
    </w:p>
    <w:p>
      <w:pPr>
        <w:spacing w:line="185" w:lineRule="auto"/>
        <w:rPr>
          <w:rFonts w:ascii="微软雅黑" w:hAnsi="微软雅黑" w:eastAsia="微软雅黑" w:cs="微软雅黑"/>
          <w:sz w:val="61"/>
          <w:szCs w:val="61"/>
        </w:rPr>
        <w:sectPr>
          <w:footerReference r:id="rId9" w:type="default"/>
          <w:pgSz w:w="11907" w:h="16840"/>
          <w:pgMar w:top="400" w:right="0" w:bottom="849" w:left="20" w:header="0" w:footer="567" w:gutter="0"/>
          <w:pgNumType w:fmt="numberInDash"/>
          <w:cols w:space="720" w:num="1"/>
        </w:sectPr>
      </w:pPr>
    </w:p>
    <w:p>
      <w:pPr>
        <w:pStyle w:val="4"/>
        <w:spacing w:line="287" w:lineRule="auto"/>
      </w:pPr>
    </w:p>
    <w:p>
      <w:pPr>
        <w:pStyle w:val="4"/>
        <w:spacing w:line="288" w:lineRule="auto"/>
      </w:pPr>
    </w:p>
    <w:p>
      <w:pPr>
        <w:pStyle w:val="4"/>
        <w:spacing w:line="288" w:lineRule="auto"/>
      </w:pPr>
    </w:p>
    <w:p>
      <w:pPr>
        <w:pStyle w:val="4"/>
        <w:spacing w:line="288" w:lineRule="auto"/>
      </w:pPr>
    </w:p>
    <w:p>
      <w:pPr>
        <w:spacing w:before="171" w:line="180" w:lineRule="auto"/>
        <w:ind w:left="14"/>
        <w:jc w:val="left"/>
        <w:rPr>
          <w:rFonts w:ascii="微软雅黑" w:hAnsi="微软雅黑" w:eastAsia="微软雅黑" w:cs="微软雅黑"/>
          <w:sz w:val="40"/>
          <w:szCs w:val="40"/>
        </w:rPr>
      </w:pPr>
      <w:bookmarkStart w:id="27" w:name="bookmark26"/>
      <w:bookmarkEnd w:id="27"/>
      <w:r>
        <w:rPr>
          <w:rFonts w:hint="eastAsia" w:ascii="微软雅黑" w:hAnsi="微软雅黑" w:eastAsia="微软雅黑" w:cs="微软雅黑"/>
          <w:spacing w:val="-1"/>
          <w:sz w:val="40"/>
          <w:szCs w:val="40"/>
          <w:lang w:eastAsia="zh-CN"/>
        </w:rPr>
        <w:t>镇原县消防救援大队</w:t>
      </w:r>
      <w:r>
        <w:rPr>
          <w:rFonts w:ascii="微软雅黑" w:hAnsi="微软雅黑" w:eastAsia="微软雅黑" w:cs="微软雅黑"/>
          <w:spacing w:val="-1"/>
          <w:sz w:val="40"/>
          <w:szCs w:val="4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40"/>
          <w:szCs w:val="40"/>
        </w:rPr>
        <w:t xml:space="preserve">2024 </w:t>
      </w:r>
      <w:r>
        <w:rPr>
          <w:rFonts w:ascii="微软雅黑" w:hAnsi="微软雅黑" w:eastAsia="微软雅黑" w:cs="微软雅黑"/>
          <w:spacing w:val="-1"/>
          <w:sz w:val="40"/>
          <w:szCs w:val="40"/>
        </w:rPr>
        <w:t xml:space="preserve">年部门预算 </w:t>
      </w:r>
      <w:r>
        <w:drawing>
          <wp:inline distT="0" distB="0" distL="114300" distR="114300">
            <wp:extent cx="200025" cy="2095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2"/>
          <w:sz w:val="40"/>
          <w:szCs w:val="40"/>
        </w:rPr>
        <w:t>部门预算表</w:t>
      </w:r>
    </w:p>
    <w:p>
      <w:pPr>
        <w:spacing w:line="229" w:lineRule="auto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部门公开表</w:t>
      </w:r>
      <w:r>
        <w:rPr>
          <w:rFonts w:ascii="宋体" w:hAnsi="宋体" w:eastAsia="宋体" w:cs="宋体"/>
          <w:spacing w:val="-2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18"/>
          <w:szCs w:val="18"/>
        </w:rPr>
        <w:t>1</w:t>
      </w:r>
    </w:p>
    <w:p>
      <w:pPr>
        <w:spacing w:before="191" w:line="188" w:lineRule="auto"/>
        <w:ind w:left="5407"/>
        <w:outlineLvl w:val="0"/>
        <w:rPr>
          <w:rFonts w:hint="eastAsia" w:ascii="黑体" w:hAnsi="黑体" w:eastAsia="黑体" w:cs="黑体"/>
          <w:spacing w:val="15"/>
          <w:sz w:val="32"/>
          <w:szCs w:val="32"/>
        </w:rPr>
      </w:pPr>
      <w:bookmarkStart w:id="28" w:name="bookmark6"/>
      <w:bookmarkEnd w:id="28"/>
      <w:r>
        <w:rPr>
          <w:rFonts w:hint="eastAsia" w:ascii="黑体" w:hAnsi="黑体" w:eastAsia="黑体" w:cs="黑体"/>
          <w:spacing w:val="15"/>
          <w:sz w:val="32"/>
          <w:szCs w:val="32"/>
        </w:rPr>
        <w:t>部门收支总表</w:t>
      </w:r>
    </w:p>
    <w:p>
      <w:pPr>
        <w:spacing w:before="150" w:line="220" w:lineRule="auto"/>
        <w:ind w:right="14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单位：万元</w:t>
      </w:r>
    </w:p>
    <w:p>
      <w:pPr>
        <w:spacing w:line="16" w:lineRule="exact"/>
      </w:pPr>
    </w:p>
    <w:tbl>
      <w:tblPr>
        <w:tblStyle w:val="9"/>
        <w:tblW w:w="127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9"/>
        <w:gridCol w:w="3172"/>
        <w:gridCol w:w="3173"/>
        <w:gridCol w:w="31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351" w:type="dxa"/>
            <w:gridSpan w:val="2"/>
            <w:vAlign w:val="top"/>
          </w:tcPr>
          <w:p>
            <w:pPr>
              <w:spacing w:before="168" w:line="240" w:lineRule="exact"/>
              <w:ind w:left="2664"/>
              <w:rPr>
                <w:rFonts w:ascii="微软雅黑" w:hAnsi="微软雅黑" w:eastAsia="微软雅黑" w:cs="微软雅黑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position w:val="-1"/>
                <w:sz w:val="20"/>
                <w:szCs w:val="20"/>
              </w:rPr>
              <w:t>收   入</w:t>
            </w:r>
          </w:p>
        </w:tc>
        <w:tc>
          <w:tcPr>
            <w:tcW w:w="6350" w:type="dxa"/>
            <w:gridSpan w:val="2"/>
            <w:vAlign w:val="top"/>
          </w:tcPr>
          <w:p>
            <w:pPr>
              <w:spacing w:before="172" w:line="237" w:lineRule="exact"/>
              <w:ind w:left="2702"/>
              <w:rPr>
                <w:rFonts w:ascii="微软雅黑" w:hAnsi="微软雅黑" w:eastAsia="微软雅黑" w:cs="微软雅黑"/>
                <w:b/>
                <w:bCs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position w:val="-1"/>
                <w:sz w:val="20"/>
                <w:szCs w:val="20"/>
              </w:rPr>
              <w:t>支   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179" w:type="dxa"/>
            <w:vAlign w:val="top"/>
          </w:tcPr>
          <w:p>
            <w:pPr>
              <w:spacing w:before="167" w:line="230" w:lineRule="auto"/>
              <w:ind w:left="1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项目</w:t>
            </w:r>
          </w:p>
        </w:tc>
        <w:tc>
          <w:tcPr>
            <w:tcW w:w="3172" w:type="dxa"/>
            <w:vAlign w:val="top"/>
          </w:tcPr>
          <w:p>
            <w:pPr>
              <w:spacing w:before="166" w:line="230" w:lineRule="auto"/>
              <w:ind w:left="1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预算数</w:t>
            </w:r>
          </w:p>
        </w:tc>
        <w:tc>
          <w:tcPr>
            <w:tcW w:w="3173" w:type="dxa"/>
            <w:vAlign w:val="top"/>
          </w:tcPr>
          <w:p>
            <w:pPr>
              <w:spacing w:before="168" w:line="236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项目</w:t>
            </w:r>
          </w:p>
        </w:tc>
        <w:tc>
          <w:tcPr>
            <w:tcW w:w="3177" w:type="dxa"/>
            <w:vAlign w:val="top"/>
          </w:tcPr>
          <w:p>
            <w:pPr>
              <w:spacing w:before="165" w:line="239" w:lineRule="exact"/>
              <w:ind w:left="126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179" w:type="dxa"/>
            <w:vAlign w:val="top"/>
          </w:tcPr>
          <w:p>
            <w:pPr>
              <w:spacing w:before="109" w:line="230" w:lineRule="auto"/>
              <w:ind w:lef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一、一般公共预算拨款收入</w:t>
            </w:r>
          </w:p>
        </w:tc>
        <w:tc>
          <w:tcPr>
            <w:tcW w:w="3172" w:type="dxa"/>
            <w:vAlign w:val="top"/>
          </w:tcPr>
          <w:p>
            <w:pPr>
              <w:spacing w:before="142" w:line="19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55.97</w:t>
            </w:r>
          </w:p>
        </w:tc>
        <w:tc>
          <w:tcPr>
            <w:tcW w:w="3173" w:type="dxa"/>
            <w:vAlign w:val="top"/>
          </w:tcPr>
          <w:p>
            <w:pPr>
              <w:spacing w:before="109" w:line="229" w:lineRule="auto"/>
              <w:ind w:lef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一、社会保障和就业支出</w:t>
            </w:r>
          </w:p>
        </w:tc>
        <w:tc>
          <w:tcPr>
            <w:tcW w:w="3177" w:type="dxa"/>
            <w:vAlign w:val="top"/>
          </w:tcPr>
          <w:p>
            <w:pPr>
              <w:spacing w:before="142" w:line="198" w:lineRule="auto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179" w:type="dxa"/>
            <w:vAlign w:val="top"/>
          </w:tcPr>
          <w:p>
            <w:pPr>
              <w:spacing w:before="110" w:line="229" w:lineRule="auto"/>
              <w:ind w:lef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二、政府性基金预算拨款收入</w:t>
            </w:r>
          </w:p>
        </w:tc>
        <w:tc>
          <w:tcPr>
            <w:tcW w:w="3172" w:type="dxa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3173" w:type="dxa"/>
            <w:vAlign w:val="top"/>
          </w:tcPr>
          <w:p>
            <w:pPr>
              <w:spacing w:before="110" w:line="230" w:lineRule="auto"/>
              <w:ind w:lef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二、卫生健康支出</w:t>
            </w:r>
          </w:p>
        </w:tc>
        <w:tc>
          <w:tcPr>
            <w:tcW w:w="3177" w:type="dxa"/>
            <w:vAlign w:val="top"/>
          </w:tcPr>
          <w:p>
            <w:pPr>
              <w:spacing w:before="143" w:line="198" w:lineRule="auto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179" w:type="dxa"/>
            <w:vAlign w:val="top"/>
          </w:tcPr>
          <w:p>
            <w:pPr>
              <w:spacing w:before="112" w:line="229" w:lineRule="auto"/>
              <w:ind w:left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三、国有资本经营预算拨款收入</w:t>
            </w:r>
          </w:p>
        </w:tc>
        <w:tc>
          <w:tcPr>
            <w:tcW w:w="3172" w:type="dxa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3173" w:type="dxa"/>
            <w:vAlign w:val="top"/>
          </w:tcPr>
          <w:p>
            <w:pPr>
              <w:spacing w:before="111" w:line="230" w:lineRule="auto"/>
              <w:ind w:left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三、住房保障支出</w:t>
            </w:r>
          </w:p>
        </w:tc>
        <w:tc>
          <w:tcPr>
            <w:tcW w:w="3177" w:type="dxa"/>
            <w:vAlign w:val="top"/>
          </w:tcPr>
          <w:p>
            <w:pPr>
              <w:spacing w:before="145" w:line="198" w:lineRule="auto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179" w:type="dxa"/>
            <w:vAlign w:val="top"/>
          </w:tcPr>
          <w:p>
            <w:pPr>
              <w:spacing w:before="113" w:line="230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四、事业收入</w:t>
            </w:r>
          </w:p>
        </w:tc>
        <w:tc>
          <w:tcPr>
            <w:tcW w:w="3172" w:type="dxa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3173" w:type="dxa"/>
            <w:vAlign w:val="top"/>
          </w:tcPr>
          <w:p>
            <w:pPr>
              <w:spacing w:before="113" w:line="230" w:lineRule="auto"/>
              <w:ind w:lef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四、灾害防治及应急管理支出</w:t>
            </w:r>
          </w:p>
        </w:tc>
        <w:tc>
          <w:tcPr>
            <w:tcW w:w="3177" w:type="dxa"/>
            <w:vAlign w:val="top"/>
          </w:tcPr>
          <w:p>
            <w:pPr>
              <w:spacing w:before="146" w:line="198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pacing w:val="3"/>
                <w:sz w:val="20"/>
                <w:szCs w:val="20"/>
              </w:rPr>
              <w:t>1118.46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179" w:type="dxa"/>
            <w:vAlign w:val="top"/>
          </w:tcPr>
          <w:p>
            <w:pPr>
              <w:spacing w:before="114" w:line="230" w:lineRule="auto"/>
              <w:ind w:lef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五、事业单位经营收入</w:t>
            </w:r>
          </w:p>
        </w:tc>
        <w:tc>
          <w:tcPr>
            <w:tcW w:w="3172" w:type="dxa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3173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3177" w:type="dxa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179" w:type="dxa"/>
            <w:vAlign w:val="top"/>
          </w:tcPr>
          <w:p>
            <w:pPr>
              <w:spacing w:before="115" w:line="230" w:lineRule="auto"/>
              <w:ind w:left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六、其他收入</w:t>
            </w:r>
          </w:p>
        </w:tc>
        <w:tc>
          <w:tcPr>
            <w:tcW w:w="3172" w:type="dxa"/>
            <w:vAlign w:val="top"/>
          </w:tcPr>
          <w:p>
            <w:pPr>
              <w:spacing w:before="148" w:line="198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pacing w:val="3"/>
                <w:sz w:val="20"/>
                <w:szCs w:val="20"/>
              </w:rPr>
              <w:t>1029.6</w:t>
            </w:r>
          </w:p>
        </w:tc>
        <w:tc>
          <w:tcPr>
            <w:tcW w:w="3173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3177" w:type="dxa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179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3172" w:type="dxa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3173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3177" w:type="dxa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179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3172" w:type="dxa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3173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3177" w:type="dxa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179" w:type="dxa"/>
            <w:vAlign w:val="top"/>
          </w:tcPr>
          <w:p>
            <w:pPr>
              <w:spacing w:before="136" w:line="229" w:lineRule="auto"/>
              <w:ind w:left="10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本年收入合计</w:t>
            </w:r>
          </w:p>
        </w:tc>
        <w:tc>
          <w:tcPr>
            <w:tcW w:w="3172" w:type="dxa"/>
            <w:vAlign w:val="top"/>
          </w:tcPr>
          <w:p>
            <w:pPr>
              <w:spacing w:before="148" w:line="198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pacing w:val="3"/>
                <w:sz w:val="20"/>
                <w:szCs w:val="20"/>
              </w:rPr>
              <w:t>1085.57</w:t>
            </w:r>
          </w:p>
        </w:tc>
        <w:tc>
          <w:tcPr>
            <w:tcW w:w="3173" w:type="dxa"/>
            <w:vAlign w:val="top"/>
          </w:tcPr>
          <w:p>
            <w:pPr>
              <w:spacing w:before="136" w:line="229" w:lineRule="auto"/>
              <w:ind w:left="10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本年支出合计</w:t>
            </w:r>
          </w:p>
        </w:tc>
        <w:tc>
          <w:tcPr>
            <w:tcW w:w="3177" w:type="dxa"/>
            <w:vAlign w:val="top"/>
          </w:tcPr>
          <w:p>
            <w:pPr>
              <w:spacing w:before="148" w:line="19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pacing w:val="3"/>
                <w:sz w:val="20"/>
                <w:szCs w:val="20"/>
              </w:rPr>
              <w:t>1118.46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179" w:type="dxa"/>
            <w:vAlign w:val="top"/>
          </w:tcPr>
          <w:p>
            <w:pPr>
              <w:spacing w:before="136" w:line="230" w:lineRule="auto"/>
              <w:ind w:left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使用非财政拨款结余</w:t>
            </w:r>
          </w:p>
        </w:tc>
        <w:tc>
          <w:tcPr>
            <w:tcW w:w="3172" w:type="dxa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3173" w:type="dxa"/>
            <w:vAlign w:val="top"/>
          </w:tcPr>
          <w:p>
            <w:pPr>
              <w:spacing w:before="136" w:line="230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结转下年</w:t>
            </w:r>
          </w:p>
        </w:tc>
        <w:tc>
          <w:tcPr>
            <w:tcW w:w="3177" w:type="dxa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179" w:type="dxa"/>
            <w:vAlign w:val="top"/>
          </w:tcPr>
          <w:p>
            <w:pPr>
              <w:spacing w:before="138" w:line="230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上年结转</w:t>
            </w:r>
          </w:p>
        </w:tc>
        <w:tc>
          <w:tcPr>
            <w:tcW w:w="3172" w:type="dxa"/>
            <w:vAlign w:val="top"/>
          </w:tcPr>
          <w:p>
            <w:pPr>
              <w:spacing w:before="147" w:line="198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pacing w:val="3"/>
                <w:sz w:val="20"/>
                <w:szCs w:val="20"/>
              </w:rPr>
              <w:t>32.89</w:t>
            </w:r>
          </w:p>
        </w:tc>
        <w:tc>
          <w:tcPr>
            <w:tcW w:w="3173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3177" w:type="dxa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179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3172" w:type="dxa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3173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3177" w:type="dxa"/>
            <w:vAlign w:val="top"/>
          </w:tcPr>
          <w:p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179" w:type="dxa"/>
            <w:vAlign w:val="top"/>
          </w:tcPr>
          <w:p>
            <w:pPr>
              <w:spacing w:before="119" w:line="239" w:lineRule="exact"/>
              <w:ind w:left="57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position w:val="-1"/>
                <w:sz w:val="20"/>
                <w:szCs w:val="20"/>
              </w:rPr>
              <w:t>收  入  总  计</w:t>
            </w:r>
          </w:p>
        </w:tc>
        <w:tc>
          <w:tcPr>
            <w:tcW w:w="3172" w:type="dxa"/>
            <w:vAlign w:val="top"/>
          </w:tcPr>
          <w:p>
            <w:pPr>
              <w:spacing w:before="149" w:line="198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3"/>
                <w:sz w:val="18"/>
                <w:szCs w:val="18"/>
              </w:rPr>
              <w:t>1118.46</w:t>
            </w:r>
          </w:p>
        </w:tc>
        <w:tc>
          <w:tcPr>
            <w:tcW w:w="3173" w:type="dxa"/>
            <w:vAlign w:val="top"/>
          </w:tcPr>
          <w:p>
            <w:pPr>
              <w:spacing w:before="120" w:line="238" w:lineRule="exact"/>
              <w:ind w:left="56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"/>
                <w:position w:val="-1"/>
                <w:sz w:val="20"/>
                <w:szCs w:val="20"/>
              </w:rPr>
              <w:t>支  出  总  计</w:t>
            </w:r>
          </w:p>
        </w:tc>
        <w:tc>
          <w:tcPr>
            <w:tcW w:w="3177" w:type="dxa"/>
            <w:vAlign w:val="top"/>
          </w:tcPr>
          <w:p>
            <w:pPr>
              <w:spacing w:before="149" w:line="198" w:lineRule="auto"/>
              <w:jc w:val="center"/>
              <w:rPr>
                <w:rFonts w:hint="eastAsia" w:ascii="Times New Roman" w:hAnsi="Times New Roman" w:eastAsia="Times New Roman" w:cs="Times New Roman"/>
                <w:spacing w:val="3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pacing w:val="3"/>
                <w:sz w:val="18"/>
                <w:szCs w:val="18"/>
              </w:rPr>
              <w:t>1118.46</w:t>
            </w:r>
          </w:p>
        </w:tc>
      </w:tr>
    </w:tbl>
    <w:p>
      <w:pPr>
        <w:pStyle w:val="4"/>
      </w:pPr>
    </w:p>
    <w:p>
      <w:pPr>
        <w:sectPr>
          <w:footerReference r:id="rId10" w:type="default"/>
          <w:pgSz w:w="16840" w:h="11907"/>
          <w:pgMar w:top="400" w:right="2125" w:bottom="844" w:left="2007" w:header="0" w:footer="631" w:gutter="0"/>
          <w:pgNumType w:fmt="numberInDash"/>
          <w:cols w:space="720" w:num="1"/>
        </w:sectPr>
      </w:pPr>
    </w:p>
    <w:p>
      <w:pPr>
        <w:pStyle w:val="4"/>
        <w:spacing w:line="241" w:lineRule="auto"/>
      </w:pPr>
    </w:p>
    <w:p>
      <w:pPr>
        <w:pStyle w:val="4"/>
        <w:spacing w:line="242" w:lineRule="auto"/>
      </w:pPr>
    </w:p>
    <w:p>
      <w:pPr>
        <w:pStyle w:val="4"/>
        <w:spacing w:line="242" w:lineRule="auto"/>
      </w:pPr>
    </w:p>
    <w:p>
      <w:pPr>
        <w:pStyle w:val="4"/>
        <w:spacing w:line="242" w:lineRule="auto"/>
      </w:pPr>
    </w:p>
    <w:p>
      <w:pPr>
        <w:pStyle w:val="4"/>
        <w:spacing w:line="242" w:lineRule="auto"/>
      </w:pPr>
    </w:p>
    <w:p>
      <w:pPr>
        <w:spacing w:before="59" w:line="230" w:lineRule="auto"/>
        <w:ind w:right="26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部门公开表</w:t>
      </w:r>
      <w:r>
        <w:rPr>
          <w:rFonts w:ascii="Times New Roman" w:hAnsi="Times New Roman" w:eastAsia="Times New Roman" w:cs="Times New Roman"/>
          <w:spacing w:val="13"/>
          <w:sz w:val="18"/>
          <w:szCs w:val="18"/>
        </w:rPr>
        <w:t>2</w:t>
      </w:r>
    </w:p>
    <w:p>
      <w:pPr>
        <w:spacing w:before="191" w:line="188" w:lineRule="auto"/>
        <w:ind w:left="5407"/>
        <w:outlineLvl w:val="0"/>
        <w:rPr>
          <w:rFonts w:hint="eastAsia" w:ascii="黑体" w:hAnsi="黑体" w:eastAsia="黑体" w:cs="黑体"/>
          <w:spacing w:val="15"/>
          <w:sz w:val="32"/>
          <w:szCs w:val="32"/>
        </w:rPr>
      </w:pPr>
      <w:bookmarkStart w:id="29" w:name="bookmark27"/>
      <w:bookmarkEnd w:id="29"/>
      <w:bookmarkStart w:id="30" w:name="bookmark7"/>
      <w:bookmarkEnd w:id="30"/>
      <w:r>
        <w:rPr>
          <w:rFonts w:hint="eastAsia" w:ascii="黑体" w:hAnsi="黑体" w:eastAsia="黑体" w:cs="黑体"/>
          <w:spacing w:val="15"/>
          <w:sz w:val="32"/>
          <w:szCs w:val="32"/>
        </w:rPr>
        <w:t>部门收入总表</w:t>
      </w:r>
    </w:p>
    <w:p>
      <w:pPr>
        <w:spacing w:before="145" w:line="220" w:lineRule="auto"/>
        <w:ind w:right="13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单位：万元</w:t>
      </w:r>
    </w:p>
    <w:p>
      <w:pPr>
        <w:spacing w:line="20" w:lineRule="exact"/>
      </w:pPr>
    </w:p>
    <w:tbl>
      <w:tblPr>
        <w:tblStyle w:val="9"/>
        <w:tblW w:w="138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302"/>
        <w:gridCol w:w="1302"/>
        <w:gridCol w:w="1303"/>
        <w:gridCol w:w="1302"/>
        <w:gridCol w:w="964"/>
        <w:gridCol w:w="964"/>
        <w:gridCol w:w="907"/>
        <w:gridCol w:w="907"/>
        <w:gridCol w:w="907"/>
        <w:gridCol w:w="1415"/>
        <w:gridCol w:w="11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  <w:p>
            <w:pPr>
              <w:spacing w:line="273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  <w:p>
            <w:pPr>
              <w:spacing w:line="273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  <w:p>
            <w:pPr>
              <w:spacing w:before="98" w:line="237" w:lineRule="exact"/>
              <w:ind w:left="484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合计</w:t>
            </w:r>
          </w:p>
        </w:tc>
        <w:tc>
          <w:tcPr>
            <w:tcW w:w="1302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  <w:p>
            <w:pPr>
              <w:spacing w:line="272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  <w:p>
            <w:pPr>
              <w:spacing w:line="272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</w:p>
          <w:p>
            <w:pPr>
              <w:spacing w:before="99" w:line="238" w:lineRule="exact"/>
              <w:ind w:left="227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上年结转</w:t>
            </w:r>
          </w:p>
        </w:tc>
        <w:tc>
          <w:tcPr>
            <w:tcW w:w="1302" w:type="dxa"/>
            <w:vMerge w:val="restart"/>
            <w:tcBorders>
              <w:bottom w:val="nil"/>
            </w:tcBorders>
            <w:vAlign w:val="top"/>
          </w:tcPr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</w:p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</w:p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一般公共预算 拨款收入</w:t>
            </w:r>
          </w:p>
        </w:tc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</w:p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</w:p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政府性基金  预算拨款收入</w:t>
            </w:r>
          </w:p>
        </w:tc>
        <w:tc>
          <w:tcPr>
            <w:tcW w:w="1302" w:type="dxa"/>
            <w:vMerge w:val="restart"/>
            <w:tcBorders>
              <w:bottom w:val="nil"/>
            </w:tcBorders>
            <w:vAlign w:val="top"/>
          </w:tcPr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</w:p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</w:p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国有资本经营 预算拨款收入</w:t>
            </w:r>
          </w:p>
        </w:tc>
        <w:tc>
          <w:tcPr>
            <w:tcW w:w="1928" w:type="dxa"/>
            <w:gridSpan w:val="2"/>
            <w:vAlign w:val="top"/>
          </w:tcPr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</w:p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事业收入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vAlign w:val="top"/>
          </w:tcPr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</w:p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</w:p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事业单位 经营收入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vAlign w:val="top"/>
          </w:tcPr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</w:p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</w:p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上级补 助收入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vAlign w:val="top"/>
          </w:tcPr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</w:p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</w:p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附属单位 上缴收入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</w:p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</w:p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</w:p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其他收入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</w:p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</w:p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0"/>
                <w:szCs w:val="20"/>
              </w:rPr>
              <w:t>使用非财政 拨款结余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金额</w:t>
            </w:r>
          </w:p>
        </w:tc>
        <w:tc>
          <w:tcPr>
            <w:tcW w:w="964" w:type="dxa"/>
            <w:vAlign w:val="top"/>
          </w:tcPr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其中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lang w:val="en-US" w:eastAsia="zh-CN"/>
              </w:rPr>
              <w:t>教育</w:t>
            </w:r>
          </w:p>
          <w:p>
            <w:pPr>
              <w:spacing w:before="115" w:line="230" w:lineRule="auto"/>
              <w:ind w:left="7"/>
              <w:jc w:val="center"/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收费</w:t>
            </w:r>
          </w:p>
        </w:tc>
        <w:tc>
          <w:tcPr>
            <w:tcW w:w="9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423" w:type="dxa"/>
            <w:vAlign w:val="top"/>
          </w:tcPr>
          <w:p>
            <w:pPr>
              <w:spacing w:line="321" w:lineRule="auto"/>
              <w:jc w:val="center"/>
              <w:rPr>
                <w:rFonts w:ascii="Arial"/>
                <w:sz w:val="20"/>
                <w:szCs w:val="20"/>
              </w:rPr>
            </w:pPr>
          </w:p>
          <w:p>
            <w:pPr>
              <w:spacing w:before="51" w:line="198" w:lineRule="auto"/>
              <w:ind w:right="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pacing w:val="3"/>
                <w:sz w:val="20"/>
                <w:szCs w:val="20"/>
              </w:rPr>
              <w:t>1118.46</w:t>
            </w:r>
          </w:p>
        </w:tc>
        <w:tc>
          <w:tcPr>
            <w:tcW w:w="1302" w:type="dxa"/>
            <w:vAlign w:val="top"/>
          </w:tcPr>
          <w:p>
            <w:pPr>
              <w:spacing w:line="321" w:lineRule="auto"/>
              <w:jc w:val="center"/>
              <w:rPr>
                <w:rFonts w:ascii="Arial"/>
                <w:sz w:val="20"/>
                <w:szCs w:val="20"/>
              </w:rPr>
            </w:pPr>
          </w:p>
          <w:p>
            <w:pPr>
              <w:spacing w:before="51" w:line="198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pacing w:val="3"/>
                <w:sz w:val="20"/>
                <w:szCs w:val="20"/>
              </w:rPr>
              <w:t>32.89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7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7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55.97</w:t>
            </w:r>
          </w:p>
        </w:tc>
        <w:tc>
          <w:tcPr>
            <w:tcW w:w="1303" w:type="dxa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1302" w:type="dxa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964" w:type="dxa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907" w:type="dxa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907" w:type="dxa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907" w:type="dxa"/>
            <w:vAlign w:val="top"/>
          </w:tcPr>
          <w:p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321" w:lineRule="auto"/>
              <w:jc w:val="center"/>
              <w:rPr>
                <w:rFonts w:ascii="Arial"/>
                <w:sz w:val="20"/>
                <w:szCs w:val="20"/>
              </w:rPr>
            </w:pPr>
          </w:p>
          <w:p>
            <w:pPr>
              <w:spacing w:before="51" w:line="198" w:lineRule="auto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3"/>
                <w:sz w:val="20"/>
                <w:szCs w:val="20"/>
              </w:rPr>
              <w:t>1029.6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pStyle w:val="4"/>
        <w:jc w:val="center"/>
      </w:pPr>
    </w:p>
    <w:p/>
    <w:p>
      <w:pPr>
        <w:pStyle w:val="2"/>
      </w:pPr>
    </w:p>
    <w:p>
      <w:pPr>
        <w:pStyle w:val="2"/>
        <w:sectPr>
          <w:footerReference r:id="rId11" w:type="default"/>
          <w:pgSz w:w="16840" w:h="11907"/>
          <w:pgMar w:top="400" w:right="1557" w:bottom="850" w:left="1440" w:header="0" w:footer="624" w:gutter="0"/>
          <w:pgNumType w:fmt="numberInDash"/>
          <w:cols w:space="720" w:num="1"/>
        </w:sectPr>
      </w:pPr>
    </w:p>
    <w:tbl>
      <w:tblPr>
        <w:tblW w:w="13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3068"/>
        <w:gridCol w:w="1400"/>
        <w:gridCol w:w="1400"/>
        <w:gridCol w:w="1526"/>
        <w:gridCol w:w="1526"/>
        <w:gridCol w:w="1526"/>
        <w:gridCol w:w="2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部门公开表3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部门支出总表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上缴上级支出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事业单位经营支出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灾害防治及应急管理支出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1,118.46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563.27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555.19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22402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消防救援事务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1,118.46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563.27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555.19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2240201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行政运行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563.27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563.27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2240204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消防应急救援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555.19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555.19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合        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1,118.46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563.27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555.19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  <w:sectPr>
          <w:footerReference r:id="rId12" w:type="default"/>
          <w:pgSz w:w="16840" w:h="11907"/>
          <w:pgMar w:top="400" w:right="1756" w:bottom="847" w:left="1638" w:header="0" w:footer="634" w:gutter="0"/>
          <w:pgNumType w:fmt="numberInDash"/>
          <w:cols w:space="720" w:num="1"/>
        </w:sectPr>
      </w:pPr>
    </w:p>
    <w:p>
      <w:pPr>
        <w:pStyle w:val="4"/>
        <w:spacing w:line="301" w:lineRule="auto"/>
      </w:pPr>
    </w:p>
    <w:p>
      <w:pPr>
        <w:pStyle w:val="4"/>
        <w:spacing w:line="301" w:lineRule="auto"/>
      </w:pPr>
    </w:p>
    <w:p>
      <w:pPr>
        <w:pStyle w:val="4"/>
        <w:spacing w:line="302" w:lineRule="auto"/>
      </w:pPr>
    </w:p>
    <w:p>
      <w:pPr>
        <w:spacing w:before="58" w:line="230" w:lineRule="auto"/>
        <w:ind w:right="23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4"/>
          <w:sz w:val="18"/>
          <w:szCs w:val="18"/>
        </w:rPr>
        <w:t>部门公开表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>4</w:t>
      </w:r>
    </w:p>
    <w:p>
      <w:pPr>
        <w:spacing w:before="191" w:line="188" w:lineRule="auto"/>
        <w:ind w:left="5407"/>
        <w:outlineLvl w:val="0"/>
        <w:rPr>
          <w:rFonts w:hint="eastAsia" w:ascii="黑体" w:hAnsi="黑体" w:eastAsia="黑体" w:cs="黑体"/>
          <w:spacing w:val="15"/>
          <w:sz w:val="32"/>
          <w:szCs w:val="32"/>
        </w:rPr>
      </w:pPr>
      <w:bookmarkStart w:id="31" w:name="bookmark9"/>
      <w:bookmarkEnd w:id="31"/>
      <w:r>
        <w:rPr>
          <w:rFonts w:hint="eastAsia" w:ascii="黑体" w:hAnsi="黑体" w:eastAsia="黑体" w:cs="黑体"/>
          <w:spacing w:val="15"/>
          <w:sz w:val="32"/>
          <w:szCs w:val="32"/>
        </w:rPr>
        <w:t>财政拨款收支总表</w:t>
      </w:r>
    </w:p>
    <w:p>
      <w:pPr>
        <w:spacing w:before="145" w:line="220" w:lineRule="auto"/>
        <w:ind w:right="13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单位：万元</w:t>
      </w:r>
    </w:p>
    <w:p>
      <w:pPr>
        <w:spacing w:line="19" w:lineRule="exact"/>
      </w:pPr>
    </w:p>
    <w:tbl>
      <w:tblPr>
        <w:tblStyle w:val="9"/>
        <w:tblW w:w="134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8"/>
        <w:gridCol w:w="2029"/>
        <w:gridCol w:w="4631"/>
        <w:gridCol w:w="23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527" w:type="dxa"/>
            <w:gridSpan w:val="2"/>
            <w:vAlign w:val="top"/>
          </w:tcPr>
          <w:p>
            <w:pPr>
              <w:spacing w:before="171" w:line="238" w:lineRule="exact"/>
              <w:ind w:left="2753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1"/>
                <w:position w:val="-1"/>
                <w:sz w:val="20"/>
                <w:szCs w:val="20"/>
              </w:rPr>
              <w:t>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8"/>
                <w:position w:val="-1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1"/>
                <w:position w:val="-1"/>
                <w:sz w:val="20"/>
                <w:szCs w:val="20"/>
              </w:rPr>
              <w:t>入</w:t>
            </w:r>
          </w:p>
        </w:tc>
        <w:tc>
          <w:tcPr>
            <w:tcW w:w="6943" w:type="dxa"/>
            <w:gridSpan w:val="2"/>
            <w:vAlign w:val="top"/>
          </w:tcPr>
          <w:p>
            <w:pPr>
              <w:spacing w:before="173" w:line="238" w:lineRule="exact"/>
              <w:ind w:left="2946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position w:val="-1"/>
                <w:sz w:val="20"/>
                <w:szCs w:val="20"/>
              </w:rPr>
              <w:t>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position w:val="-1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4"/>
                <w:position w:val="-1"/>
                <w:sz w:val="20"/>
                <w:szCs w:val="20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98" w:type="dxa"/>
            <w:vAlign w:val="top"/>
          </w:tcPr>
          <w:p>
            <w:pPr>
              <w:spacing w:before="169" w:line="236" w:lineRule="exact"/>
              <w:ind w:firstLine="2030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  <w:lang w:val="en-US" w:eastAsia="zh-CN"/>
              </w:rPr>
              <w:t>项目</w:t>
            </w:r>
          </w:p>
        </w:tc>
        <w:tc>
          <w:tcPr>
            <w:tcW w:w="2029" w:type="dxa"/>
            <w:vAlign w:val="top"/>
          </w:tcPr>
          <w:p>
            <w:pPr>
              <w:spacing w:before="166" w:line="238" w:lineRule="exact"/>
              <w:ind w:left="691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  <w:lang w:val="en-US" w:eastAsia="zh-CN"/>
              </w:rPr>
              <w:t>预算数</w:t>
            </w:r>
          </w:p>
        </w:tc>
        <w:tc>
          <w:tcPr>
            <w:tcW w:w="4631" w:type="dxa"/>
            <w:vAlign w:val="top"/>
          </w:tcPr>
          <w:p>
            <w:pPr>
              <w:spacing w:before="169" w:line="236" w:lineRule="exact"/>
              <w:ind w:firstLine="2098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  <w:lang w:val="en-US" w:eastAsia="zh-CN"/>
              </w:rPr>
              <w:t>项目</w:t>
            </w:r>
          </w:p>
        </w:tc>
        <w:tc>
          <w:tcPr>
            <w:tcW w:w="2312" w:type="dxa"/>
            <w:vAlign w:val="top"/>
          </w:tcPr>
          <w:p>
            <w:pPr>
              <w:spacing w:before="166" w:line="238" w:lineRule="exact"/>
              <w:ind w:left="83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  <w:lang w:val="en-US" w:eastAsia="zh-CN"/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98" w:type="dxa"/>
            <w:vAlign w:val="top"/>
          </w:tcPr>
          <w:p>
            <w:pPr>
              <w:spacing w:before="147" w:line="229" w:lineRule="auto"/>
              <w:ind w:left="3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>一、本年收入</w:t>
            </w:r>
          </w:p>
        </w:tc>
        <w:tc>
          <w:tcPr>
            <w:tcW w:w="2029" w:type="dxa"/>
            <w:vAlign w:val="top"/>
          </w:tcPr>
          <w:p>
            <w:pPr>
              <w:spacing w:before="156" w:line="19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55.97</w:t>
            </w:r>
          </w:p>
        </w:tc>
        <w:tc>
          <w:tcPr>
            <w:tcW w:w="4631" w:type="dxa"/>
            <w:vAlign w:val="top"/>
          </w:tcPr>
          <w:p>
            <w:pPr>
              <w:spacing w:before="147" w:line="229" w:lineRule="auto"/>
              <w:ind w:left="3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>一、本年支出</w:t>
            </w:r>
          </w:p>
        </w:tc>
        <w:tc>
          <w:tcPr>
            <w:tcW w:w="2312" w:type="dxa"/>
            <w:vAlign w:val="top"/>
          </w:tcPr>
          <w:p>
            <w:pPr>
              <w:spacing w:before="156" w:line="19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55.97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98" w:type="dxa"/>
            <w:vAlign w:val="top"/>
          </w:tcPr>
          <w:p>
            <w:pPr>
              <w:spacing w:before="147" w:line="230" w:lineRule="auto"/>
              <w:ind w:left="4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0"/>
                <w:szCs w:val="20"/>
              </w:rPr>
              <w:t>（一）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2"/>
                <w:sz w:val="20"/>
                <w:szCs w:val="20"/>
              </w:rPr>
              <w:t>一般公共预算拨款</w:t>
            </w:r>
          </w:p>
        </w:tc>
        <w:tc>
          <w:tcPr>
            <w:tcW w:w="2029" w:type="dxa"/>
            <w:vAlign w:val="top"/>
          </w:tcPr>
          <w:p>
            <w:pPr>
              <w:spacing w:before="156" w:line="19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55.97</w:t>
            </w:r>
          </w:p>
        </w:tc>
        <w:tc>
          <w:tcPr>
            <w:tcW w:w="4631" w:type="dxa"/>
            <w:vAlign w:val="top"/>
          </w:tcPr>
          <w:p>
            <w:pPr>
              <w:spacing w:before="147" w:line="229" w:lineRule="auto"/>
              <w:ind w:left="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0"/>
                <w:szCs w:val="20"/>
              </w:rPr>
              <w:t>（一）社会保障和就业支出</w:t>
            </w:r>
          </w:p>
        </w:tc>
        <w:tc>
          <w:tcPr>
            <w:tcW w:w="2312" w:type="dxa"/>
            <w:vAlign w:val="top"/>
          </w:tcPr>
          <w:p>
            <w:pPr>
              <w:spacing w:before="156" w:line="19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98" w:type="dxa"/>
            <w:vAlign w:val="top"/>
          </w:tcPr>
          <w:p>
            <w:pPr>
              <w:spacing w:before="149" w:line="229" w:lineRule="auto"/>
              <w:ind w:left="4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0"/>
                <w:szCs w:val="20"/>
              </w:rPr>
              <w:t>（二）政府性基金预算拨款</w:t>
            </w:r>
          </w:p>
        </w:tc>
        <w:tc>
          <w:tcPr>
            <w:tcW w:w="202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631" w:type="dxa"/>
            <w:vAlign w:val="top"/>
          </w:tcPr>
          <w:p>
            <w:pPr>
              <w:spacing w:before="149" w:line="230" w:lineRule="auto"/>
              <w:ind w:left="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0"/>
                <w:szCs w:val="20"/>
              </w:rPr>
              <w:t>（二）卫生健康支出</w:t>
            </w:r>
          </w:p>
        </w:tc>
        <w:tc>
          <w:tcPr>
            <w:tcW w:w="2312" w:type="dxa"/>
            <w:vAlign w:val="top"/>
          </w:tcPr>
          <w:p>
            <w:pPr>
              <w:spacing w:before="158" w:line="19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98" w:type="dxa"/>
            <w:vAlign w:val="top"/>
          </w:tcPr>
          <w:p>
            <w:pPr>
              <w:spacing w:before="149" w:line="229" w:lineRule="auto"/>
              <w:ind w:left="4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（三）</w:t>
            </w:r>
            <w:r>
              <w:rPr>
                <w:rFonts w:hint="default" w:ascii="Times New Roman" w:hAnsi="Times New Roman" w:eastAsia="宋体" w:cs="Times New Roman"/>
                <w:spacing w:val="-3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国有资本经营预算拨款</w:t>
            </w:r>
          </w:p>
        </w:tc>
        <w:tc>
          <w:tcPr>
            <w:tcW w:w="202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631" w:type="dxa"/>
            <w:vAlign w:val="top"/>
          </w:tcPr>
          <w:p>
            <w:pPr>
              <w:spacing w:before="149" w:line="230" w:lineRule="auto"/>
              <w:ind w:left="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0"/>
                <w:szCs w:val="20"/>
              </w:rPr>
              <w:t>（三）住房保障支出</w:t>
            </w:r>
          </w:p>
        </w:tc>
        <w:tc>
          <w:tcPr>
            <w:tcW w:w="2312" w:type="dxa"/>
            <w:vAlign w:val="top"/>
          </w:tcPr>
          <w:p>
            <w:pPr>
              <w:spacing w:before="158" w:line="19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98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631" w:type="dxa"/>
            <w:vAlign w:val="top"/>
          </w:tcPr>
          <w:p>
            <w:pPr>
              <w:spacing w:before="151" w:line="230" w:lineRule="auto"/>
              <w:ind w:left="48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0"/>
                <w:szCs w:val="20"/>
              </w:rPr>
              <w:t>（四）</w:t>
            </w:r>
            <w:r>
              <w:rPr>
                <w:rFonts w:hint="default" w:ascii="Times New Roman" w:hAnsi="Times New Roman" w:eastAsia="宋体" w:cs="Times New Roman"/>
                <w:spacing w:val="-4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3"/>
                <w:sz w:val="20"/>
                <w:szCs w:val="20"/>
              </w:rPr>
              <w:t>灾害防治及应急管理支出</w:t>
            </w:r>
          </w:p>
        </w:tc>
        <w:tc>
          <w:tcPr>
            <w:tcW w:w="2312" w:type="dxa"/>
            <w:vAlign w:val="top"/>
          </w:tcPr>
          <w:p>
            <w:pPr>
              <w:spacing w:before="158" w:line="19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55.97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98" w:type="dxa"/>
            <w:vAlign w:val="top"/>
          </w:tcPr>
          <w:p>
            <w:pPr>
              <w:spacing w:before="151" w:line="230" w:lineRule="auto"/>
              <w:ind w:left="3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>二、上年结转</w:t>
            </w:r>
          </w:p>
        </w:tc>
        <w:tc>
          <w:tcPr>
            <w:tcW w:w="2029" w:type="dxa"/>
            <w:vAlign w:val="top"/>
          </w:tcPr>
          <w:p>
            <w:pPr>
              <w:spacing w:before="160" w:line="19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31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98" w:type="dxa"/>
            <w:vAlign w:val="top"/>
          </w:tcPr>
          <w:p>
            <w:pPr>
              <w:spacing w:before="153" w:line="230" w:lineRule="auto"/>
              <w:ind w:left="4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0"/>
                <w:szCs w:val="20"/>
              </w:rPr>
              <w:t>（一）</w:t>
            </w:r>
            <w:r>
              <w:rPr>
                <w:rFonts w:hint="default" w:ascii="Times New Roman" w:hAnsi="Times New Roman" w:eastAsia="宋体" w:cs="Times New Roman"/>
                <w:spacing w:val="-5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2"/>
                <w:sz w:val="20"/>
                <w:szCs w:val="20"/>
              </w:rPr>
              <w:t>一般公共预算拨款</w:t>
            </w:r>
          </w:p>
        </w:tc>
        <w:tc>
          <w:tcPr>
            <w:tcW w:w="2029" w:type="dxa"/>
            <w:vAlign w:val="top"/>
          </w:tcPr>
          <w:p>
            <w:pPr>
              <w:spacing w:before="160" w:line="19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31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498" w:type="dxa"/>
            <w:vAlign w:val="top"/>
          </w:tcPr>
          <w:p>
            <w:pPr>
              <w:spacing w:before="153" w:line="229" w:lineRule="auto"/>
              <w:ind w:left="4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0"/>
                <w:szCs w:val="20"/>
              </w:rPr>
              <w:t>（二）政府性基金预算拨款</w:t>
            </w:r>
          </w:p>
        </w:tc>
        <w:tc>
          <w:tcPr>
            <w:tcW w:w="202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31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498" w:type="dxa"/>
            <w:vAlign w:val="top"/>
          </w:tcPr>
          <w:p>
            <w:pPr>
              <w:spacing w:before="154" w:line="229" w:lineRule="auto"/>
              <w:ind w:left="49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（三）</w:t>
            </w:r>
            <w:r>
              <w:rPr>
                <w:rFonts w:hint="default" w:ascii="Times New Roman" w:hAnsi="Times New Roman" w:eastAsia="宋体" w:cs="Times New Roman"/>
                <w:spacing w:val="-3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20"/>
                <w:szCs w:val="20"/>
              </w:rPr>
              <w:t>国有资本经营预算拨款</w:t>
            </w:r>
          </w:p>
        </w:tc>
        <w:tc>
          <w:tcPr>
            <w:tcW w:w="202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31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498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31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498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631" w:type="dxa"/>
            <w:vAlign w:val="top"/>
          </w:tcPr>
          <w:p>
            <w:pPr>
              <w:spacing w:before="154" w:line="230" w:lineRule="auto"/>
              <w:ind w:left="34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0"/>
                <w:szCs w:val="20"/>
              </w:rPr>
              <w:t>二、结转下年</w:t>
            </w:r>
          </w:p>
        </w:tc>
        <w:tc>
          <w:tcPr>
            <w:tcW w:w="231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498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02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463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31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498" w:type="dxa"/>
            <w:vAlign w:val="top"/>
          </w:tcPr>
          <w:p>
            <w:pPr>
              <w:spacing w:before="132" w:line="238" w:lineRule="exact"/>
              <w:ind w:left="1236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9"/>
                <w:position w:val="-1"/>
                <w:sz w:val="20"/>
                <w:szCs w:val="20"/>
              </w:rPr>
              <w:t>收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0"/>
                <w:position w:val="-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9"/>
                <w:position w:val="-1"/>
                <w:sz w:val="20"/>
                <w:szCs w:val="20"/>
              </w:rPr>
              <w:t>入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9"/>
                <w:position w:val="-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9"/>
                <w:position w:val="-1"/>
                <w:sz w:val="20"/>
                <w:szCs w:val="20"/>
              </w:rPr>
              <w:t>总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6"/>
                <w:position w:val="-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9"/>
                <w:position w:val="-1"/>
                <w:sz w:val="20"/>
                <w:szCs w:val="20"/>
              </w:rPr>
              <w:t>计</w:t>
            </w:r>
          </w:p>
        </w:tc>
        <w:tc>
          <w:tcPr>
            <w:tcW w:w="2029" w:type="dxa"/>
            <w:vAlign w:val="top"/>
          </w:tcPr>
          <w:p>
            <w:pPr>
              <w:spacing w:before="163" w:line="198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</w:rPr>
              <w:t>55.97</w:t>
            </w:r>
          </w:p>
        </w:tc>
        <w:tc>
          <w:tcPr>
            <w:tcW w:w="4631" w:type="dxa"/>
            <w:vAlign w:val="top"/>
          </w:tcPr>
          <w:p>
            <w:pPr>
              <w:spacing w:before="133" w:line="237" w:lineRule="exact"/>
              <w:ind w:left="1292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2"/>
                <w:position w:val="-1"/>
                <w:sz w:val="20"/>
                <w:szCs w:val="20"/>
              </w:rPr>
              <w:t>支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27"/>
                <w:position w:val="-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2"/>
                <w:position w:val="-1"/>
                <w:sz w:val="20"/>
                <w:szCs w:val="20"/>
              </w:rPr>
              <w:t>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31"/>
                <w:position w:val="-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2"/>
                <w:position w:val="-1"/>
                <w:sz w:val="20"/>
                <w:szCs w:val="20"/>
              </w:rPr>
              <w:t>总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16"/>
                <w:position w:val="-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2"/>
                <w:position w:val="-1"/>
                <w:sz w:val="20"/>
                <w:szCs w:val="20"/>
              </w:rPr>
              <w:t>计</w:t>
            </w:r>
          </w:p>
        </w:tc>
        <w:tc>
          <w:tcPr>
            <w:tcW w:w="2312" w:type="dxa"/>
            <w:vAlign w:val="top"/>
          </w:tcPr>
          <w:p>
            <w:pPr>
              <w:spacing w:before="187" w:line="198" w:lineRule="auto"/>
              <w:ind w:firstLine="1000" w:firstLineChars="50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</w:rPr>
              <w:t>55.97</w:t>
            </w:r>
          </w:p>
        </w:tc>
      </w:tr>
    </w:tbl>
    <w:p>
      <w:pPr>
        <w:pStyle w:val="4"/>
      </w:pPr>
    </w:p>
    <w:p>
      <w:pPr>
        <w:sectPr>
          <w:footerReference r:id="rId13" w:type="default"/>
          <w:pgSz w:w="16840" w:h="11907"/>
          <w:pgMar w:top="400" w:right="1740" w:bottom="850" w:left="1623" w:header="0" w:footer="624" w:gutter="0"/>
          <w:pgNumType w:fmt="numberInDash"/>
          <w:cols w:space="720" w:num="1"/>
        </w:sectPr>
      </w:pPr>
    </w:p>
    <w:p>
      <w:pPr>
        <w:pStyle w:val="4"/>
        <w:spacing w:line="241" w:lineRule="auto"/>
      </w:pPr>
    </w:p>
    <w:p>
      <w:pPr>
        <w:pStyle w:val="4"/>
        <w:spacing w:line="242" w:lineRule="auto"/>
      </w:pPr>
    </w:p>
    <w:p>
      <w:pPr>
        <w:pStyle w:val="4"/>
        <w:spacing w:line="242" w:lineRule="auto"/>
      </w:pPr>
    </w:p>
    <w:p>
      <w:pPr>
        <w:pStyle w:val="4"/>
        <w:spacing w:line="242" w:lineRule="auto"/>
      </w:pPr>
    </w:p>
    <w:p>
      <w:pPr>
        <w:spacing w:before="59" w:line="230" w:lineRule="auto"/>
        <w:ind w:right="18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4"/>
          <w:sz w:val="18"/>
          <w:szCs w:val="18"/>
        </w:rPr>
        <w:t>部门公开表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>5</w:t>
      </w:r>
    </w:p>
    <w:p>
      <w:pPr>
        <w:spacing w:before="191" w:line="188" w:lineRule="auto"/>
        <w:ind w:left="5407"/>
        <w:outlineLvl w:val="0"/>
        <w:rPr>
          <w:rFonts w:hint="eastAsia" w:ascii="黑体" w:hAnsi="黑体" w:eastAsia="黑体" w:cs="黑体"/>
          <w:spacing w:val="15"/>
          <w:sz w:val="32"/>
          <w:szCs w:val="32"/>
        </w:rPr>
      </w:pPr>
      <w:bookmarkStart w:id="32" w:name="bookmark12"/>
      <w:bookmarkEnd w:id="32"/>
      <w:bookmarkStart w:id="33" w:name="bookmark10"/>
      <w:bookmarkEnd w:id="33"/>
      <w:r>
        <w:rPr>
          <w:rFonts w:hint="eastAsia" w:ascii="黑体" w:hAnsi="黑体" w:eastAsia="黑体" w:cs="黑体"/>
          <w:spacing w:val="15"/>
          <w:sz w:val="32"/>
          <w:szCs w:val="32"/>
        </w:rPr>
        <w:t>一般公共预算支出表</w:t>
      </w:r>
    </w:p>
    <w:p>
      <w:pPr>
        <w:spacing w:before="150" w:line="220" w:lineRule="auto"/>
        <w:ind w:right="13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单位：万元</w:t>
      </w:r>
    </w:p>
    <w:p>
      <w:pPr>
        <w:pStyle w:val="4"/>
        <w:rPr>
          <w:rFonts w:hint="eastAsia" w:ascii="宋体" w:hAnsi="宋体" w:eastAsia="宋体" w:cs="宋体"/>
          <w:sz w:val="20"/>
          <w:szCs w:val="20"/>
        </w:rPr>
      </w:pPr>
    </w:p>
    <w:tbl>
      <w:tblPr>
        <w:tblStyle w:val="9"/>
        <w:tblpPr w:leftFromText="180" w:rightFromText="180" w:vertAnchor="text" w:horzAnchor="page" w:tblpX="1619" w:tblpY="324"/>
        <w:tblOverlap w:val="never"/>
        <w:tblW w:w="1428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699"/>
        <w:gridCol w:w="1246"/>
        <w:gridCol w:w="1246"/>
        <w:gridCol w:w="1247"/>
        <w:gridCol w:w="1246"/>
        <w:gridCol w:w="1134"/>
        <w:gridCol w:w="1247"/>
        <w:gridCol w:w="1415"/>
        <w:gridCol w:w="680"/>
        <w:gridCol w:w="1415"/>
        <w:gridCol w:w="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2725" w:type="dxa"/>
            <w:gridSpan w:val="2"/>
            <w:vAlign w:val="top"/>
          </w:tcPr>
          <w:p>
            <w:pPr>
              <w:spacing w:line="284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spacing w:before="99" w:line="239" w:lineRule="exact"/>
              <w:ind w:left="743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功能分类科目</w:t>
            </w:r>
          </w:p>
        </w:tc>
        <w:tc>
          <w:tcPr>
            <w:tcW w:w="2492" w:type="dxa"/>
            <w:gridSpan w:val="2"/>
            <w:vAlign w:val="top"/>
          </w:tcPr>
          <w:p>
            <w:pPr>
              <w:spacing w:line="305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spacing w:before="77" w:line="230" w:lineRule="auto"/>
              <w:ind w:left="624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2023 年执行数</w:t>
            </w:r>
          </w:p>
        </w:tc>
        <w:tc>
          <w:tcPr>
            <w:tcW w:w="4874" w:type="dxa"/>
            <w:gridSpan w:val="4"/>
            <w:vAlign w:val="top"/>
          </w:tcPr>
          <w:p>
            <w:pPr>
              <w:spacing w:line="305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spacing w:before="77" w:line="230" w:lineRule="auto"/>
              <w:ind w:left="1816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2024 年预算数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spacing w:before="238" w:line="208" w:lineRule="auto"/>
              <w:ind w:left="429" w:right="322" w:hanging="10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2024 年预算数比 2023年执行数</w:t>
            </w:r>
          </w:p>
        </w:tc>
        <w:tc>
          <w:tcPr>
            <w:tcW w:w="2101" w:type="dxa"/>
            <w:gridSpan w:val="2"/>
            <w:vAlign w:val="top"/>
          </w:tcPr>
          <w:p>
            <w:pPr>
              <w:spacing w:before="98" w:line="239" w:lineRule="exact"/>
              <w:ind w:left="421"/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2024年预算数比</w:t>
            </w:r>
          </w:p>
          <w:p>
            <w:pPr>
              <w:spacing w:before="98" w:line="239" w:lineRule="exact"/>
              <w:ind w:left="421"/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2023 年执行数</w:t>
            </w:r>
          </w:p>
          <w:p>
            <w:pPr>
              <w:spacing w:before="98" w:line="239" w:lineRule="exact"/>
              <w:ind w:left="421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(扣除中央基建投资)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26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spacing w:before="98" w:line="239" w:lineRule="exact"/>
              <w:ind w:left="87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1699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spacing w:before="98" w:line="239" w:lineRule="exact"/>
              <w:ind w:left="421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line="362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spacing w:before="98" w:line="239" w:lineRule="exact"/>
              <w:ind w:left="297"/>
              <w:jc w:val="both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执行数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before="316" w:line="273" w:lineRule="exact"/>
              <w:ind w:left="1" w:right="34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扣除中央基建 投资后执行数</w:t>
            </w:r>
          </w:p>
        </w:tc>
        <w:tc>
          <w:tcPr>
            <w:tcW w:w="3627" w:type="dxa"/>
            <w:gridSpan w:val="3"/>
            <w:vAlign w:val="top"/>
          </w:tcPr>
          <w:p>
            <w:pPr>
              <w:spacing w:before="223" w:line="239" w:lineRule="exact"/>
              <w:ind w:left="1291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年初预算数</w:t>
            </w:r>
          </w:p>
        </w:tc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>
            <w:pPr>
              <w:spacing w:before="316" w:line="273" w:lineRule="exact"/>
              <w:ind w:left="2" w:right="18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扣除中央基建 投资后预算数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line="363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spacing w:before="99" w:line="237" w:lineRule="exact"/>
              <w:ind w:left="384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增减额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center"/>
          </w:tcPr>
          <w:p>
            <w:pPr>
              <w:spacing w:before="98" w:line="239" w:lineRule="exact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增减</w:t>
            </w:r>
          </w:p>
          <w:p>
            <w:pPr>
              <w:spacing w:before="98" w:line="239" w:lineRule="exac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(%)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line="363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spacing w:before="99" w:line="237" w:lineRule="exact"/>
              <w:ind w:left="386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增减额</w:t>
            </w:r>
          </w:p>
        </w:tc>
        <w:tc>
          <w:tcPr>
            <w:tcW w:w="686" w:type="dxa"/>
            <w:vMerge w:val="restart"/>
            <w:tcBorders>
              <w:bottom w:val="nil"/>
            </w:tcBorders>
            <w:vAlign w:val="center"/>
          </w:tcPr>
          <w:p>
            <w:pPr>
              <w:spacing w:before="98" w:line="239" w:lineRule="exact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增减</w:t>
            </w:r>
          </w:p>
          <w:p>
            <w:pPr>
              <w:spacing w:before="98"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47" w:type="dxa"/>
            <w:vAlign w:val="top"/>
          </w:tcPr>
          <w:p>
            <w:pPr>
              <w:spacing w:before="144" w:line="236" w:lineRule="exact"/>
              <w:ind w:left="407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小计</w:t>
            </w:r>
          </w:p>
        </w:tc>
        <w:tc>
          <w:tcPr>
            <w:tcW w:w="1246" w:type="dxa"/>
            <w:vAlign w:val="top"/>
          </w:tcPr>
          <w:p>
            <w:pPr>
              <w:spacing w:before="140" w:line="239" w:lineRule="exact"/>
              <w:ind w:left="198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134" w:type="dxa"/>
            <w:vAlign w:val="top"/>
          </w:tcPr>
          <w:p>
            <w:pPr>
              <w:spacing w:before="142" w:line="238" w:lineRule="exact"/>
              <w:ind w:left="148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项目支出</w:t>
            </w:r>
          </w:p>
        </w:tc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26" w:type="dxa"/>
            <w:vAlign w:val="top"/>
          </w:tcPr>
          <w:p>
            <w:pPr>
              <w:spacing w:before="209" w:line="188" w:lineRule="auto"/>
              <w:ind w:left="23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0"/>
                <w:szCs w:val="20"/>
              </w:rPr>
              <w:t>224</w:t>
            </w:r>
          </w:p>
        </w:tc>
        <w:tc>
          <w:tcPr>
            <w:tcW w:w="1699" w:type="dxa"/>
            <w:vAlign w:val="top"/>
          </w:tcPr>
          <w:p>
            <w:pPr>
              <w:spacing w:before="72" w:line="224" w:lineRule="auto"/>
              <w:ind w:left="377" w:right="68" w:hanging="1"/>
              <w:jc w:val="both"/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0"/>
                <w:szCs w:val="20"/>
              </w:rPr>
              <w:t>灾害防治及应急管理 支出</w:t>
            </w:r>
          </w:p>
        </w:tc>
        <w:tc>
          <w:tcPr>
            <w:tcW w:w="1246" w:type="dxa"/>
            <w:vAlign w:val="top"/>
          </w:tcPr>
          <w:p>
            <w:pPr>
              <w:spacing w:before="192" w:line="188" w:lineRule="auto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246" w:type="dxa"/>
            <w:vAlign w:val="top"/>
          </w:tcPr>
          <w:p>
            <w:pPr>
              <w:spacing w:before="192" w:line="188" w:lineRule="auto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vAlign w:val="top"/>
          </w:tcPr>
          <w:p>
            <w:pPr>
              <w:spacing w:before="192" w:line="188" w:lineRule="auto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vAlign w:val="top"/>
          </w:tcPr>
          <w:p>
            <w:pPr>
              <w:spacing w:before="192" w:line="188" w:lineRule="auto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="192" w:line="188" w:lineRule="auto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vAlign w:val="top"/>
          </w:tcPr>
          <w:p>
            <w:pPr>
              <w:spacing w:before="192" w:line="188" w:lineRule="auto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vAlign w:val="top"/>
          </w:tcPr>
          <w:p>
            <w:pPr>
              <w:spacing w:before="192" w:line="188" w:lineRule="auto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vAlign w:val="top"/>
          </w:tcPr>
          <w:p>
            <w:pPr>
              <w:spacing w:before="192" w:line="188" w:lineRule="auto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vAlign w:val="top"/>
          </w:tcPr>
          <w:p>
            <w:pPr>
              <w:spacing w:before="192" w:line="188" w:lineRule="auto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top"/>
          </w:tcPr>
          <w:p>
            <w:pPr>
              <w:spacing w:before="192" w:line="188" w:lineRule="auto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26" w:type="dxa"/>
            <w:vAlign w:val="top"/>
          </w:tcPr>
          <w:p>
            <w:pPr>
              <w:spacing w:before="198" w:line="188" w:lineRule="auto"/>
              <w:ind w:left="203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0"/>
                <w:szCs w:val="20"/>
              </w:rPr>
              <w:t>22402</w:t>
            </w:r>
          </w:p>
        </w:tc>
        <w:tc>
          <w:tcPr>
            <w:tcW w:w="1699" w:type="dxa"/>
            <w:vAlign w:val="top"/>
          </w:tcPr>
          <w:p>
            <w:pPr>
              <w:spacing w:before="72" w:line="224" w:lineRule="auto"/>
              <w:ind w:left="377" w:right="68" w:hanging="1"/>
              <w:jc w:val="both"/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0"/>
                <w:szCs w:val="20"/>
              </w:rPr>
              <w:t>消防救援事务</w:t>
            </w:r>
          </w:p>
        </w:tc>
        <w:tc>
          <w:tcPr>
            <w:tcW w:w="1246" w:type="dxa"/>
            <w:vAlign w:val="top"/>
          </w:tcPr>
          <w:p>
            <w:pPr>
              <w:spacing w:before="179" w:line="188" w:lineRule="auto"/>
              <w:jc w:val="center"/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51.87</w:t>
            </w:r>
          </w:p>
        </w:tc>
        <w:tc>
          <w:tcPr>
            <w:tcW w:w="1246" w:type="dxa"/>
            <w:vAlign w:val="top"/>
          </w:tcPr>
          <w:p>
            <w:pPr>
              <w:spacing w:before="179" w:line="188" w:lineRule="auto"/>
              <w:jc w:val="center"/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51.87</w:t>
            </w:r>
          </w:p>
        </w:tc>
        <w:tc>
          <w:tcPr>
            <w:tcW w:w="1247" w:type="dxa"/>
            <w:vAlign w:val="top"/>
          </w:tcPr>
          <w:p>
            <w:pPr>
              <w:spacing w:before="181" w:line="1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55.97</w:t>
            </w:r>
          </w:p>
        </w:tc>
        <w:tc>
          <w:tcPr>
            <w:tcW w:w="1246" w:type="dxa"/>
            <w:vAlign w:val="top"/>
          </w:tcPr>
          <w:p>
            <w:pPr>
              <w:spacing w:before="181" w:line="1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15.95</w:t>
            </w:r>
          </w:p>
        </w:tc>
        <w:tc>
          <w:tcPr>
            <w:tcW w:w="1134" w:type="dxa"/>
            <w:vAlign w:val="top"/>
          </w:tcPr>
          <w:p>
            <w:pPr>
              <w:spacing w:before="181" w:line="1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40.02</w:t>
            </w:r>
          </w:p>
        </w:tc>
        <w:tc>
          <w:tcPr>
            <w:tcW w:w="1247" w:type="dxa"/>
            <w:vAlign w:val="top"/>
          </w:tcPr>
          <w:p>
            <w:pPr>
              <w:spacing w:before="181" w:line="188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55.97</w:t>
            </w:r>
          </w:p>
        </w:tc>
        <w:tc>
          <w:tcPr>
            <w:tcW w:w="1415" w:type="dxa"/>
            <w:vAlign w:val="top"/>
          </w:tcPr>
          <w:p>
            <w:pPr>
              <w:spacing w:before="181" w:line="188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80" w:type="dxa"/>
            <w:vAlign w:val="top"/>
          </w:tcPr>
          <w:p>
            <w:pPr>
              <w:spacing w:before="181" w:line="188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7.90%</w:t>
            </w:r>
          </w:p>
        </w:tc>
        <w:tc>
          <w:tcPr>
            <w:tcW w:w="1415" w:type="dxa"/>
            <w:vAlign w:val="top"/>
          </w:tcPr>
          <w:p>
            <w:pPr>
              <w:spacing w:before="181" w:line="188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86" w:type="dxa"/>
            <w:vAlign w:val="top"/>
          </w:tcPr>
          <w:p>
            <w:pPr>
              <w:spacing w:before="181" w:line="188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7.90%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26" w:type="dxa"/>
            <w:vAlign w:val="top"/>
          </w:tcPr>
          <w:p>
            <w:pPr>
              <w:spacing w:before="199" w:line="188" w:lineRule="auto"/>
              <w:ind w:right="11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2240201</w:t>
            </w:r>
          </w:p>
        </w:tc>
        <w:tc>
          <w:tcPr>
            <w:tcW w:w="1699" w:type="dxa"/>
            <w:vAlign w:val="top"/>
          </w:tcPr>
          <w:p>
            <w:pPr>
              <w:spacing w:before="72" w:line="224" w:lineRule="auto"/>
              <w:ind w:left="377" w:right="68" w:hanging="1"/>
              <w:jc w:val="both"/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行政运行</w:t>
            </w:r>
          </w:p>
        </w:tc>
        <w:tc>
          <w:tcPr>
            <w:tcW w:w="1246" w:type="dxa"/>
            <w:vAlign w:val="top"/>
          </w:tcPr>
          <w:p>
            <w:pPr>
              <w:spacing w:before="179" w:line="1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15.95</w:t>
            </w:r>
          </w:p>
        </w:tc>
        <w:tc>
          <w:tcPr>
            <w:tcW w:w="1246" w:type="dxa"/>
            <w:vAlign w:val="top"/>
          </w:tcPr>
          <w:p>
            <w:pPr>
              <w:spacing w:before="179" w:line="188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15.95</w:t>
            </w:r>
          </w:p>
        </w:tc>
        <w:tc>
          <w:tcPr>
            <w:tcW w:w="1247" w:type="dxa"/>
            <w:vAlign w:val="top"/>
          </w:tcPr>
          <w:p>
            <w:pPr>
              <w:spacing w:before="179" w:line="1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15.95</w:t>
            </w:r>
          </w:p>
        </w:tc>
        <w:tc>
          <w:tcPr>
            <w:tcW w:w="1246" w:type="dxa"/>
            <w:vAlign w:val="top"/>
          </w:tcPr>
          <w:p>
            <w:pPr>
              <w:spacing w:before="179" w:line="1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15.95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vAlign w:val="top"/>
          </w:tcPr>
          <w:p>
            <w:pPr>
              <w:spacing w:before="179" w:line="188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15.95</w:t>
            </w:r>
          </w:p>
        </w:tc>
        <w:tc>
          <w:tcPr>
            <w:tcW w:w="1415" w:type="dxa"/>
            <w:vAlign w:val="top"/>
          </w:tcPr>
          <w:p>
            <w:pPr>
              <w:spacing w:before="179" w:line="1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vAlign w:val="top"/>
          </w:tcPr>
          <w:p>
            <w:pPr>
              <w:spacing w:before="179" w:line="1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5" w:type="dxa"/>
            <w:vAlign w:val="top"/>
          </w:tcPr>
          <w:p>
            <w:pPr>
              <w:spacing w:before="179" w:line="188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6" w:type="dxa"/>
            <w:vAlign w:val="top"/>
          </w:tcPr>
          <w:p>
            <w:pPr>
              <w:spacing w:before="179" w:line="188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26" w:type="dxa"/>
            <w:vAlign w:val="top"/>
          </w:tcPr>
          <w:p>
            <w:pPr>
              <w:spacing w:before="197" w:line="188" w:lineRule="auto"/>
              <w:ind w:right="11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2240204</w:t>
            </w:r>
          </w:p>
        </w:tc>
        <w:tc>
          <w:tcPr>
            <w:tcW w:w="1699" w:type="dxa"/>
            <w:vAlign w:val="top"/>
          </w:tcPr>
          <w:p>
            <w:pPr>
              <w:spacing w:before="72" w:line="224" w:lineRule="auto"/>
              <w:ind w:left="377" w:right="68" w:hanging="1"/>
              <w:jc w:val="both"/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消防应急救援</w:t>
            </w:r>
          </w:p>
        </w:tc>
        <w:tc>
          <w:tcPr>
            <w:tcW w:w="1246" w:type="dxa"/>
            <w:vAlign w:val="top"/>
          </w:tcPr>
          <w:p>
            <w:pPr>
              <w:spacing w:before="180" w:line="1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35.92</w:t>
            </w:r>
          </w:p>
        </w:tc>
        <w:tc>
          <w:tcPr>
            <w:tcW w:w="1246" w:type="dxa"/>
            <w:vAlign w:val="top"/>
          </w:tcPr>
          <w:p>
            <w:pPr>
              <w:spacing w:before="180" w:line="188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  <w:lang w:val="en-US" w:eastAsia="zh-CN"/>
              </w:rPr>
              <w:t>35.92</w:t>
            </w:r>
          </w:p>
        </w:tc>
        <w:tc>
          <w:tcPr>
            <w:tcW w:w="1247" w:type="dxa"/>
            <w:vAlign w:val="top"/>
          </w:tcPr>
          <w:p>
            <w:pPr>
              <w:spacing w:before="180" w:line="1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40.02</w:t>
            </w:r>
          </w:p>
        </w:tc>
        <w:tc>
          <w:tcPr>
            <w:tcW w:w="124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="180" w:line="1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40.02</w:t>
            </w:r>
          </w:p>
        </w:tc>
        <w:tc>
          <w:tcPr>
            <w:tcW w:w="1247" w:type="dxa"/>
            <w:vAlign w:val="top"/>
          </w:tcPr>
          <w:p>
            <w:pPr>
              <w:spacing w:before="180" w:line="188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40.02</w:t>
            </w:r>
          </w:p>
        </w:tc>
        <w:tc>
          <w:tcPr>
            <w:tcW w:w="1415" w:type="dxa"/>
            <w:vAlign w:val="top"/>
          </w:tcPr>
          <w:p>
            <w:pPr>
              <w:spacing w:before="180" w:line="1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80" w:type="dxa"/>
            <w:vAlign w:val="top"/>
          </w:tcPr>
          <w:p>
            <w:pPr>
              <w:spacing w:before="180" w:line="1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11.41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415" w:type="dxa"/>
            <w:vAlign w:val="top"/>
          </w:tcPr>
          <w:p>
            <w:pPr>
              <w:spacing w:before="180" w:line="188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86" w:type="dxa"/>
            <w:vAlign w:val="top"/>
          </w:tcPr>
          <w:p>
            <w:pPr>
              <w:spacing w:before="180" w:line="188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11.41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25" w:type="dxa"/>
            <w:gridSpan w:val="2"/>
            <w:vAlign w:val="top"/>
          </w:tcPr>
          <w:p>
            <w:pPr>
              <w:spacing w:before="143" w:line="233" w:lineRule="exact"/>
              <w:ind w:left="106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24"/>
                <w:position w:val="-1"/>
                <w:sz w:val="20"/>
                <w:szCs w:val="20"/>
              </w:rPr>
              <w:t>合计</w:t>
            </w:r>
          </w:p>
        </w:tc>
        <w:tc>
          <w:tcPr>
            <w:tcW w:w="1246" w:type="dxa"/>
            <w:vAlign w:val="top"/>
          </w:tcPr>
          <w:p>
            <w:pPr>
              <w:spacing w:before="181" w:line="1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  <w:lang w:val="en-US" w:eastAsia="zh-CN"/>
              </w:rPr>
              <w:t>51.87</w:t>
            </w:r>
          </w:p>
        </w:tc>
        <w:tc>
          <w:tcPr>
            <w:tcW w:w="1246" w:type="dxa"/>
            <w:vAlign w:val="top"/>
          </w:tcPr>
          <w:p>
            <w:pPr>
              <w:spacing w:before="181" w:line="1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  <w:lang w:val="en-US" w:eastAsia="zh-CN"/>
              </w:rPr>
              <w:t>51.87</w:t>
            </w:r>
          </w:p>
        </w:tc>
        <w:tc>
          <w:tcPr>
            <w:tcW w:w="1247" w:type="dxa"/>
            <w:vAlign w:val="top"/>
          </w:tcPr>
          <w:p>
            <w:pPr>
              <w:spacing w:before="181" w:line="1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55.97</w:t>
            </w:r>
          </w:p>
        </w:tc>
        <w:tc>
          <w:tcPr>
            <w:tcW w:w="1246" w:type="dxa"/>
            <w:vAlign w:val="top"/>
          </w:tcPr>
          <w:p>
            <w:pPr>
              <w:spacing w:before="181" w:line="1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15.95</w:t>
            </w:r>
          </w:p>
        </w:tc>
        <w:tc>
          <w:tcPr>
            <w:tcW w:w="1134" w:type="dxa"/>
            <w:vAlign w:val="top"/>
          </w:tcPr>
          <w:p>
            <w:pPr>
              <w:spacing w:before="181" w:line="1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40.02</w:t>
            </w:r>
          </w:p>
        </w:tc>
        <w:tc>
          <w:tcPr>
            <w:tcW w:w="1247" w:type="dxa"/>
            <w:vAlign w:val="top"/>
          </w:tcPr>
          <w:p>
            <w:pPr>
              <w:spacing w:before="181" w:line="1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55.97</w:t>
            </w:r>
          </w:p>
        </w:tc>
        <w:tc>
          <w:tcPr>
            <w:tcW w:w="1415" w:type="dxa"/>
            <w:vAlign w:val="top"/>
          </w:tcPr>
          <w:p>
            <w:pPr>
              <w:spacing w:before="181" w:line="1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80" w:type="dxa"/>
            <w:vAlign w:val="top"/>
          </w:tcPr>
          <w:p>
            <w:pPr>
              <w:spacing w:before="181" w:line="188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7.90%</w:t>
            </w:r>
          </w:p>
        </w:tc>
        <w:tc>
          <w:tcPr>
            <w:tcW w:w="1415" w:type="dxa"/>
            <w:vAlign w:val="top"/>
          </w:tcPr>
          <w:p>
            <w:pPr>
              <w:spacing w:before="181" w:line="188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686" w:type="dxa"/>
            <w:vAlign w:val="top"/>
          </w:tcPr>
          <w:p>
            <w:pPr>
              <w:spacing w:before="181" w:line="188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7.90%</w:t>
            </w:r>
          </w:p>
        </w:tc>
      </w:tr>
    </w:tbl>
    <w:p>
      <w:pPr>
        <w:spacing w:before="69" w:line="188" w:lineRule="auto"/>
        <w:rPr>
          <w:rFonts w:ascii="Times New Roman" w:hAnsi="Times New Roman" w:eastAsia="Times New Roman" w:cs="Times New Roman"/>
          <w:sz w:val="24"/>
          <w:szCs w:val="24"/>
        </w:rPr>
        <w:sectPr>
          <w:footerReference r:id="rId14" w:type="default"/>
          <w:pgSz w:w="16840" w:h="11907"/>
          <w:pgMar w:top="400" w:right="1332" w:bottom="400" w:left="1214" w:header="0" w:footer="624" w:gutter="0"/>
          <w:pgNumType w:fmt="numberInDash"/>
          <w:cols w:space="720" w:num="1"/>
        </w:sectPr>
      </w:pPr>
    </w:p>
    <w:p>
      <w:pPr>
        <w:pStyle w:val="4"/>
        <w:spacing w:line="246" w:lineRule="auto"/>
      </w:pPr>
    </w:p>
    <w:p>
      <w:pPr>
        <w:pStyle w:val="4"/>
        <w:spacing w:line="246" w:lineRule="auto"/>
      </w:pPr>
    </w:p>
    <w:p>
      <w:pPr>
        <w:spacing w:before="59" w:line="230" w:lineRule="auto"/>
        <w:ind w:right="21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4"/>
          <w:sz w:val="18"/>
          <w:szCs w:val="18"/>
        </w:rPr>
        <w:t>部门公开表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>6</w:t>
      </w:r>
    </w:p>
    <w:p>
      <w:pPr>
        <w:spacing w:before="191" w:line="188" w:lineRule="auto"/>
        <w:ind w:left="3034"/>
        <w:outlineLvl w:val="0"/>
        <w:rPr>
          <w:rFonts w:ascii="微软雅黑" w:hAnsi="微软雅黑" w:eastAsia="微软雅黑" w:cs="微软雅黑"/>
          <w:sz w:val="30"/>
          <w:szCs w:val="30"/>
        </w:rPr>
      </w:pPr>
      <w:bookmarkStart w:id="34" w:name="bookmark14"/>
      <w:bookmarkEnd w:id="34"/>
      <w:bookmarkStart w:id="35" w:name="bookmark11"/>
      <w:bookmarkEnd w:id="35"/>
      <w:r>
        <w:rPr>
          <w:rFonts w:hint="eastAsia" w:ascii="黑体" w:hAnsi="黑体" w:eastAsia="黑体" w:cs="黑体"/>
          <w:spacing w:val="17"/>
          <w:sz w:val="32"/>
          <w:szCs w:val="32"/>
        </w:rPr>
        <w:t>一般公共预算基本支出表</w:t>
      </w:r>
    </w:p>
    <w:p>
      <w:pPr>
        <w:spacing w:before="150" w:line="220" w:lineRule="auto"/>
        <w:ind w:right="13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单位：万元</w:t>
      </w:r>
    </w:p>
    <w:p>
      <w:pPr>
        <w:spacing w:line="17" w:lineRule="exact"/>
      </w:pPr>
    </w:p>
    <w:tbl>
      <w:tblPr>
        <w:tblStyle w:val="9"/>
        <w:tblW w:w="95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3114"/>
        <w:gridCol w:w="1699"/>
        <w:gridCol w:w="1699"/>
        <w:gridCol w:w="1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461" w:type="dxa"/>
            <w:gridSpan w:val="2"/>
            <w:vAlign w:val="top"/>
          </w:tcPr>
          <w:p>
            <w:pPr>
              <w:spacing w:before="172" w:line="238" w:lineRule="exact"/>
              <w:ind w:left="1012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部门预算支出经济分类科目</w:t>
            </w:r>
          </w:p>
        </w:tc>
        <w:tc>
          <w:tcPr>
            <w:tcW w:w="5104" w:type="dxa"/>
            <w:gridSpan w:val="3"/>
            <w:vAlign w:val="top"/>
          </w:tcPr>
          <w:p>
            <w:pPr>
              <w:spacing w:before="171" w:line="231" w:lineRule="auto"/>
              <w:ind w:left="1831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2024年基本支出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47" w:type="dxa"/>
            <w:vAlign w:val="top"/>
          </w:tcPr>
          <w:p>
            <w:pPr>
              <w:spacing w:before="164" w:line="238" w:lineRule="exact"/>
              <w:ind w:left="248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114" w:type="dxa"/>
            <w:vAlign w:val="top"/>
          </w:tcPr>
          <w:p>
            <w:pPr>
              <w:spacing w:before="164" w:line="238" w:lineRule="exact"/>
              <w:ind w:left="1131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699" w:type="dxa"/>
            <w:vAlign w:val="top"/>
          </w:tcPr>
          <w:p>
            <w:pPr>
              <w:spacing w:before="167" w:line="237" w:lineRule="exact"/>
              <w:ind w:left="625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合计</w:t>
            </w:r>
          </w:p>
        </w:tc>
        <w:tc>
          <w:tcPr>
            <w:tcW w:w="1699" w:type="dxa"/>
            <w:vAlign w:val="top"/>
          </w:tcPr>
          <w:p>
            <w:pPr>
              <w:spacing w:before="165" w:line="239" w:lineRule="exact"/>
              <w:ind w:left="429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人员经费</w:t>
            </w:r>
          </w:p>
        </w:tc>
        <w:tc>
          <w:tcPr>
            <w:tcW w:w="1706" w:type="dxa"/>
            <w:vAlign w:val="top"/>
          </w:tcPr>
          <w:p>
            <w:pPr>
              <w:spacing w:before="165" w:line="239" w:lineRule="exact"/>
              <w:ind w:left="441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公用经费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47" w:type="dxa"/>
            <w:vAlign w:val="top"/>
          </w:tcPr>
          <w:p>
            <w:pPr>
              <w:spacing w:before="169" w:line="196" w:lineRule="auto"/>
              <w:ind w:left="2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0"/>
                <w:szCs w:val="20"/>
              </w:rPr>
              <w:t>302</w:t>
            </w:r>
          </w:p>
        </w:tc>
        <w:tc>
          <w:tcPr>
            <w:tcW w:w="3114" w:type="dxa"/>
            <w:vAlign w:val="top"/>
          </w:tcPr>
          <w:p>
            <w:pPr>
              <w:spacing w:before="116" w:line="238" w:lineRule="exac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0"/>
                <w:szCs w:val="20"/>
              </w:rPr>
              <w:t>商品和服务支出</w:t>
            </w:r>
          </w:p>
        </w:tc>
        <w:tc>
          <w:tcPr>
            <w:tcW w:w="1699" w:type="dxa"/>
            <w:vAlign w:val="top"/>
          </w:tcPr>
          <w:p>
            <w:pPr>
              <w:spacing w:before="158" w:line="189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1"/>
                <w:sz w:val="20"/>
                <w:szCs w:val="20"/>
                <w:lang w:val="en-US" w:eastAsia="zh-CN"/>
              </w:rPr>
              <w:t>15.95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vAlign w:val="top"/>
          </w:tcPr>
          <w:p>
            <w:pPr>
              <w:spacing w:before="158" w:line="189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1"/>
                <w:sz w:val="20"/>
                <w:szCs w:val="20"/>
                <w:lang w:val="en-US" w:eastAsia="zh-CN"/>
              </w:rPr>
              <w:t>15.95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47" w:type="dxa"/>
            <w:vAlign w:val="top"/>
          </w:tcPr>
          <w:p>
            <w:pPr>
              <w:spacing w:before="169" w:line="196" w:lineRule="auto"/>
              <w:ind w:left="23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30202</w:t>
            </w:r>
          </w:p>
        </w:tc>
        <w:tc>
          <w:tcPr>
            <w:tcW w:w="3114" w:type="dxa"/>
            <w:vAlign w:val="top"/>
          </w:tcPr>
          <w:p>
            <w:pPr>
              <w:spacing w:before="138" w:line="230" w:lineRule="auto"/>
              <w:ind w:left="252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印刷费</w:t>
            </w:r>
          </w:p>
        </w:tc>
        <w:tc>
          <w:tcPr>
            <w:tcW w:w="1699" w:type="dxa"/>
            <w:vAlign w:val="top"/>
          </w:tcPr>
          <w:p>
            <w:pPr>
              <w:spacing w:before="160" w:line="189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  <w:lang w:val="en-US" w:eastAsia="zh-CN"/>
              </w:rPr>
              <w:t>2.8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vAlign w:val="top"/>
          </w:tcPr>
          <w:p>
            <w:pPr>
              <w:spacing w:before="160" w:line="189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2.8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47" w:type="dxa"/>
            <w:vAlign w:val="top"/>
          </w:tcPr>
          <w:p>
            <w:pPr>
              <w:spacing w:before="172" w:line="196" w:lineRule="auto"/>
              <w:ind w:left="23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30205</w:t>
            </w:r>
          </w:p>
        </w:tc>
        <w:tc>
          <w:tcPr>
            <w:tcW w:w="3114" w:type="dxa"/>
            <w:vAlign w:val="top"/>
          </w:tcPr>
          <w:p>
            <w:pPr>
              <w:spacing w:before="141" w:line="230" w:lineRule="auto"/>
              <w:ind w:left="22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水费</w:t>
            </w:r>
          </w:p>
        </w:tc>
        <w:tc>
          <w:tcPr>
            <w:tcW w:w="1699" w:type="dxa"/>
            <w:vAlign w:val="top"/>
          </w:tcPr>
          <w:p>
            <w:pPr>
              <w:spacing w:before="158" w:line="189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  <w:lang w:val="en-US" w:eastAsia="zh-CN"/>
              </w:rPr>
              <w:t>1.66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vAlign w:val="top"/>
          </w:tcPr>
          <w:p>
            <w:pPr>
              <w:spacing w:before="158" w:line="189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  <w:t>1.66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47" w:type="dxa"/>
            <w:vAlign w:val="top"/>
          </w:tcPr>
          <w:p>
            <w:pPr>
              <w:spacing w:before="172" w:line="196" w:lineRule="auto"/>
              <w:ind w:left="23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30208</w:t>
            </w:r>
          </w:p>
        </w:tc>
        <w:tc>
          <w:tcPr>
            <w:tcW w:w="3114" w:type="dxa"/>
            <w:vAlign w:val="top"/>
          </w:tcPr>
          <w:p>
            <w:pPr>
              <w:spacing w:before="142" w:line="230" w:lineRule="auto"/>
              <w:ind w:left="22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0"/>
                <w:szCs w:val="20"/>
              </w:rPr>
              <w:t>取暖费</w:t>
            </w:r>
          </w:p>
        </w:tc>
        <w:tc>
          <w:tcPr>
            <w:tcW w:w="1699" w:type="dxa"/>
            <w:vAlign w:val="top"/>
          </w:tcPr>
          <w:p>
            <w:pPr>
              <w:spacing w:before="158" w:line="189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:lang w:eastAsia="zh-CN"/>
              </w:rPr>
              <w:t>8.29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6" w:type="dxa"/>
            <w:vAlign w:val="top"/>
          </w:tcPr>
          <w:p>
            <w:pPr>
              <w:spacing w:before="158" w:line="189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8.29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47" w:type="dxa"/>
            <w:vAlign w:val="top"/>
          </w:tcPr>
          <w:p>
            <w:pPr>
              <w:spacing w:before="166" w:line="196" w:lineRule="auto"/>
              <w:ind w:left="231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30225</w:t>
            </w:r>
          </w:p>
        </w:tc>
        <w:tc>
          <w:tcPr>
            <w:tcW w:w="3114" w:type="dxa"/>
            <w:vAlign w:val="top"/>
          </w:tcPr>
          <w:p>
            <w:pPr>
              <w:spacing w:before="136" w:line="230" w:lineRule="auto"/>
              <w:ind w:left="223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0"/>
                <w:szCs w:val="20"/>
              </w:rPr>
              <w:t>专用燃料费</w:t>
            </w:r>
          </w:p>
        </w:tc>
        <w:tc>
          <w:tcPr>
            <w:tcW w:w="1699" w:type="dxa"/>
            <w:vAlign w:val="top"/>
          </w:tcPr>
          <w:p>
            <w:pPr>
              <w:spacing w:before="155" w:line="189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6" w:type="dxa"/>
            <w:vAlign w:val="top"/>
          </w:tcPr>
          <w:p>
            <w:pPr>
              <w:spacing w:before="155" w:line="189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461" w:type="dxa"/>
            <w:gridSpan w:val="2"/>
            <w:vAlign w:val="top"/>
          </w:tcPr>
          <w:p>
            <w:pPr>
              <w:spacing w:before="178" w:line="237" w:lineRule="exact"/>
              <w:ind w:left="2005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5"/>
                <w:w w:val="98"/>
                <w:position w:val="-1"/>
                <w:sz w:val="20"/>
                <w:szCs w:val="20"/>
              </w:rPr>
              <w:t>合计</w:t>
            </w:r>
          </w:p>
        </w:tc>
        <w:tc>
          <w:tcPr>
            <w:tcW w:w="1699" w:type="dxa"/>
            <w:vAlign w:val="top"/>
          </w:tcPr>
          <w:p>
            <w:pPr>
              <w:spacing w:before="216" w:line="189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1"/>
                <w:sz w:val="20"/>
                <w:szCs w:val="20"/>
                <w:lang w:val="en-US" w:eastAsia="zh-CN"/>
              </w:rPr>
              <w:t>15.95</w:t>
            </w:r>
          </w:p>
        </w:tc>
        <w:tc>
          <w:tcPr>
            <w:tcW w:w="1699" w:type="dxa"/>
            <w:vAlign w:val="top"/>
          </w:tcPr>
          <w:p>
            <w:pPr>
              <w:spacing w:before="216" w:line="189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vAlign w:val="top"/>
          </w:tcPr>
          <w:p>
            <w:pPr>
              <w:spacing w:before="216" w:line="189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1"/>
                <w:sz w:val="20"/>
                <w:szCs w:val="20"/>
                <w:lang w:val="en-US" w:eastAsia="zh-CN"/>
              </w:rPr>
              <w:t>15.95</w:t>
            </w:r>
          </w:p>
        </w:tc>
      </w:tr>
    </w:tbl>
    <w:p>
      <w:pPr>
        <w:pStyle w:val="4"/>
        <w:spacing w:line="249" w:lineRule="auto"/>
      </w:pPr>
    </w:p>
    <w:p>
      <w:pPr>
        <w:pStyle w:val="4"/>
        <w:spacing w:line="249" w:lineRule="auto"/>
      </w:pPr>
    </w:p>
    <w:p/>
    <w:p/>
    <w:p/>
    <w:p>
      <w:pPr>
        <w:spacing w:line="188" w:lineRule="auto"/>
        <w:rPr>
          <w:rFonts w:ascii="Times New Roman" w:hAnsi="Times New Roman" w:eastAsia="Times New Roman" w:cs="Times New Roman"/>
          <w:sz w:val="24"/>
          <w:szCs w:val="24"/>
        </w:rPr>
        <w:sectPr>
          <w:headerReference r:id="rId15" w:type="default"/>
          <w:footerReference r:id="rId16" w:type="default"/>
          <w:pgSz w:w="11907" w:h="16840"/>
          <w:pgMar w:top="400" w:right="1112" w:bottom="400" w:left="1223" w:header="0" w:footer="340" w:gutter="0"/>
          <w:pgNumType w:fmt="numberInDash"/>
          <w:cols w:space="720" w:num="1"/>
        </w:sectPr>
      </w:pPr>
      <w:bookmarkStart w:id="36" w:name="bookmark16"/>
      <w:bookmarkEnd w:id="36"/>
    </w:p>
    <w:p>
      <w:pPr>
        <w:spacing w:before="59" w:line="230" w:lineRule="auto"/>
        <w:ind w:right="22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4"/>
          <w:sz w:val="18"/>
          <w:szCs w:val="18"/>
        </w:rPr>
        <w:t>部门公开表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>7</w:t>
      </w:r>
    </w:p>
    <w:p>
      <w:pPr>
        <w:spacing w:before="191" w:line="188" w:lineRule="auto"/>
        <w:ind w:left="3211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37" w:name="bookmark18"/>
      <w:bookmarkEnd w:id="37"/>
      <w:r>
        <w:rPr>
          <w:rFonts w:hint="eastAsia" w:ascii="黑体" w:hAnsi="黑体" w:eastAsia="黑体" w:cs="黑体"/>
          <w:spacing w:val="17"/>
          <w:sz w:val="32"/>
          <w:szCs w:val="32"/>
        </w:rPr>
        <w:t>政府性基金预算支出表</w:t>
      </w:r>
    </w:p>
    <w:p>
      <w:pPr>
        <w:spacing w:before="150" w:line="220" w:lineRule="auto"/>
        <w:ind w:right="14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单位：万元</w:t>
      </w:r>
    </w:p>
    <w:p>
      <w:pPr>
        <w:spacing w:line="17" w:lineRule="exact"/>
      </w:pPr>
    </w:p>
    <w:tbl>
      <w:tblPr>
        <w:tblStyle w:val="9"/>
        <w:tblW w:w="96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3118"/>
        <w:gridCol w:w="1699"/>
        <w:gridCol w:w="1699"/>
        <w:gridCol w:w="1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spacing w:before="99" w:line="238" w:lineRule="exact"/>
              <w:ind w:left="266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118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spacing w:before="99" w:line="238" w:lineRule="exact"/>
              <w:ind w:left="1131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5104" w:type="dxa"/>
            <w:gridSpan w:val="3"/>
            <w:vAlign w:val="top"/>
          </w:tcPr>
          <w:p>
            <w:pPr>
              <w:spacing w:before="172" w:line="230" w:lineRule="auto"/>
              <w:ind w:left="1331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2024 年政府性基金预算支出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top"/>
          </w:tcPr>
          <w:p>
            <w:pPr>
              <w:spacing w:before="167" w:line="237" w:lineRule="exact"/>
              <w:ind w:left="624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合计</w:t>
            </w:r>
          </w:p>
        </w:tc>
        <w:tc>
          <w:tcPr>
            <w:tcW w:w="1699" w:type="dxa"/>
            <w:vAlign w:val="top"/>
          </w:tcPr>
          <w:p>
            <w:pPr>
              <w:spacing w:before="164" w:line="238" w:lineRule="exact"/>
              <w:ind w:left="427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706" w:type="dxa"/>
            <w:vAlign w:val="top"/>
          </w:tcPr>
          <w:p>
            <w:pPr>
              <w:spacing w:before="166" w:line="238" w:lineRule="exact"/>
              <w:ind w:left="433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501" w:type="dxa"/>
            <w:gridSpan w:val="2"/>
            <w:vAlign w:val="top"/>
          </w:tcPr>
          <w:p>
            <w:pPr>
              <w:spacing w:before="176" w:line="237" w:lineRule="exact"/>
              <w:ind w:left="192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989898"/>
                <w:spacing w:val="39"/>
                <w:position w:val="-1"/>
                <w:sz w:val="23"/>
                <w:szCs w:val="23"/>
              </w:rPr>
              <w:t>合计</w:t>
            </w: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4" w:line="229" w:lineRule="auto"/>
        <w:ind w:left="715"/>
        <w:rPr>
          <w:rFonts w:ascii="微软雅黑" w:hAnsi="微软雅黑" w:eastAsia="微软雅黑" w:cs="微软雅黑"/>
          <w:sz w:val="19"/>
          <w:szCs w:val="19"/>
        </w:rPr>
        <w:sectPr>
          <w:headerReference r:id="rId17" w:type="default"/>
          <w:footerReference r:id="rId18" w:type="default"/>
          <w:pgSz w:w="11907" w:h="16840"/>
          <w:pgMar w:top="400" w:right="1092" w:bottom="849" w:left="1203" w:header="0" w:footer="632" w:gutter="0"/>
          <w:pgNumType w:fmt="numberInDash"/>
          <w:cols w:space="720" w:num="1"/>
        </w:sectPr>
      </w:pPr>
      <w:r>
        <w:rPr>
          <w:rFonts w:ascii="微软雅黑" w:hAnsi="微软雅黑" w:eastAsia="微软雅黑" w:cs="微软雅黑"/>
          <w:spacing w:val="15"/>
          <w:sz w:val="19"/>
          <w:szCs w:val="19"/>
        </w:rPr>
        <w:t>（注：</w:t>
      </w:r>
      <w:r>
        <w:rPr>
          <w:rFonts w:ascii="微软雅黑" w:hAnsi="微软雅黑" w:eastAsia="微软雅黑" w:cs="微软雅黑"/>
          <w:spacing w:val="-22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15"/>
          <w:sz w:val="19"/>
          <w:szCs w:val="19"/>
        </w:rPr>
        <w:t>2024</w:t>
      </w:r>
      <w:r>
        <w:rPr>
          <w:rFonts w:ascii="微软雅黑" w:hAnsi="微软雅黑" w:eastAsia="微软雅黑" w:cs="微软雅黑"/>
          <w:spacing w:val="15"/>
          <w:sz w:val="19"/>
          <w:szCs w:val="19"/>
        </w:rPr>
        <w:t>年</w:t>
      </w:r>
      <w:r>
        <w:rPr>
          <w:rFonts w:hint="eastAsia" w:ascii="微软雅黑" w:hAnsi="微软雅黑" w:eastAsia="微软雅黑" w:cs="微软雅黑"/>
          <w:spacing w:val="15"/>
          <w:sz w:val="19"/>
          <w:szCs w:val="19"/>
          <w:lang w:eastAsia="zh-CN"/>
        </w:rPr>
        <w:t>镇原县消防救援大队</w:t>
      </w:r>
      <w:r>
        <w:rPr>
          <w:rFonts w:ascii="微软雅黑" w:hAnsi="微软雅黑" w:eastAsia="微软雅黑" w:cs="微软雅黑"/>
          <w:spacing w:val="15"/>
          <w:sz w:val="19"/>
          <w:szCs w:val="19"/>
        </w:rPr>
        <w:t>本部门预算中没有使用政府性基金预算拨款安排的支出</w:t>
      </w:r>
      <w:r>
        <w:rPr>
          <w:rFonts w:ascii="微软雅黑" w:hAnsi="微软雅黑" w:eastAsia="微软雅黑" w:cs="微软雅黑"/>
          <w:spacing w:val="-17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pacing w:val="15"/>
          <w:sz w:val="19"/>
          <w:szCs w:val="19"/>
        </w:rPr>
        <w:t>。</w:t>
      </w:r>
      <w:r>
        <w:rPr>
          <w:rFonts w:ascii="微软雅黑" w:hAnsi="微软雅黑" w:eastAsia="微软雅黑" w:cs="微软雅黑"/>
          <w:spacing w:val="-18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pacing w:val="15"/>
          <w:sz w:val="19"/>
          <w:szCs w:val="19"/>
        </w:rPr>
        <w:t>）</w:t>
      </w:r>
    </w:p>
    <w:p>
      <w:pPr>
        <w:pStyle w:val="4"/>
        <w:spacing w:line="245" w:lineRule="auto"/>
      </w:pPr>
    </w:p>
    <w:p>
      <w:pPr>
        <w:pStyle w:val="4"/>
        <w:spacing w:line="245" w:lineRule="auto"/>
      </w:pPr>
    </w:p>
    <w:p>
      <w:pPr>
        <w:pStyle w:val="4"/>
        <w:spacing w:line="245" w:lineRule="auto"/>
      </w:pPr>
    </w:p>
    <w:p>
      <w:pPr>
        <w:pStyle w:val="4"/>
        <w:spacing w:line="246" w:lineRule="auto"/>
      </w:pPr>
    </w:p>
    <w:p>
      <w:pPr>
        <w:pStyle w:val="4"/>
        <w:spacing w:line="246" w:lineRule="auto"/>
      </w:pPr>
    </w:p>
    <w:p>
      <w:pPr>
        <w:spacing w:before="59" w:line="230" w:lineRule="auto"/>
        <w:ind w:right="20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4"/>
          <w:sz w:val="18"/>
          <w:szCs w:val="18"/>
        </w:rPr>
        <w:t>部门公开表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>8</w:t>
      </w:r>
    </w:p>
    <w:p>
      <w:pPr>
        <w:spacing w:before="229" w:line="188" w:lineRule="auto"/>
        <w:ind w:left="3101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38" w:name="bookmark15"/>
      <w:bookmarkEnd w:id="38"/>
      <w:bookmarkStart w:id="39" w:name="bookmark20"/>
      <w:bookmarkEnd w:id="39"/>
      <w:r>
        <w:rPr>
          <w:rFonts w:hint="eastAsia" w:ascii="黑体" w:hAnsi="黑体" w:eastAsia="黑体" w:cs="黑体"/>
          <w:spacing w:val="14"/>
          <w:sz w:val="32"/>
          <w:szCs w:val="32"/>
        </w:rPr>
        <w:t>国有资本经营预算支出表</w:t>
      </w:r>
    </w:p>
    <w:p>
      <w:pPr>
        <w:spacing w:before="112" w:line="220" w:lineRule="auto"/>
        <w:ind w:right="17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单位：万元</w:t>
      </w:r>
    </w:p>
    <w:p>
      <w:pPr>
        <w:spacing w:line="17" w:lineRule="exact"/>
      </w:pPr>
    </w:p>
    <w:tbl>
      <w:tblPr>
        <w:tblStyle w:val="9"/>
        <w:tblW w:w="96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3137"/>
        <w:gridCol w:w="1699"/>
        <w:gridCol w:w="1699"/>
        <w:gridCol w:w="1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84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spacing w:before="99" w:line="238" w:lineRule="exact"/>
              <w:ind w:left="266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137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spacing w:before="99" w:line="238" w:lineRule="exact"/>
              <w:ind w:left="1140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5104" w:type="dxa"/>
            <w:gridSpan w:val="3"/>
            <w:vAlign w:val="top"/>
          </w:tcPr>
          <w:p>
            <w:pPr>
              <w:spacing w:before="172" w:line="230" w:lineRule="auto"/>
              <w:ind w:left="1230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2024 年国有资本经营预算支出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31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top"/>
          </w:tcPr>
          <w:p>
            <w:pPr>
              <w:spacing w:before="168" w:line="236" w:lineRule="exact"/>
              <w:ind w:left="635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小计</w:t>
            </w:r>
          </w:p>
        </w:tc>
        <w:tc>
          <w:tcPr>
            <w:tcW w:w="1699" w:type="dxa"/>
            <w:vAlign w:val="top"/>
          </w:tcPr>
          <w:p>
            <w:pPr>
              <w:spacing w:before="164" w:line="238" w:lineRule="exact"/>
              <w:ind w:left="427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706" w:type="dxa"/>
            <w:vAlign w:val="top"/>
          </w:tcPr>
          <w:p>
            <w:pPr>
              <w:spacing w:before="166" w:line="238" w:lineRule="exact"/>
              <w:ind w:left="433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521" w:type="dxa"/>
            <w:gridSpan w:val="2"/>
            <w:vAlign w:val="top"/>
          </w:tcPr>
          <w:p>
            <w:pPr>
              <w:spacing w:before="176" w:line="237" w:lineRule="exact"/>
              <w:ind w:left="188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color w:val="999999"/>
                <w:spacing w:val="7"/>
                <w:position w:val="-1"/>
                <w:sz w:val="23"/>
                <w:szCs w:val="23"/>
              </w:rPr>
              <w:t>合</w:t>
            </w:r>
            <w:r>
              <w:rPr>
                <w:rFonts w:ascii="微软雅黑" w:hAnsi="微软雅黑" w:eastAsia="微软雅黑" w:cs="微软雅黑"/>
                <w:color w:val="999999"/>
                <w:spacing w:val="47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999999"/>
                <w:spacing w:val="7"/>
                <w:position w:val="-1"/>
                <w:sz w:val="23"/>
                <w:szCs w:val="23"/>
              </w:rPr>
              <w:t>计</w:t>
            </w: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4" w:line="229" w:lineRule="auto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spacing w:val="16"/>
          <w:sz w:val="20"/>
          <w:szCs w:val="20"/>
        </w:rPr>
        <w:t>（注：</w:t>
      </w:r>
      <w:r>
        <w:rPr>
          <w:rFonts w:hint="eastAsia" w:ascii="黑体" w:hAnsi="黑体" w:eastAsia="黑体" w:cs="黑体"/>
          <w:spacing w:val="-36"/>
          <w:sz w:val="20"/>
          <w:szCs w:val="20"/>
        </w:rPr>
        <w:t xml:space="preserve"> </w:t>
      </w:r>
      <w:r>
        <w:rPr>
          <w:rFonts w:hint="eastAsia" w:ascii="黑体" w:hAnsi="黑体" w:eastAsia="黑体" w:cs="黑体"/>
          <w:spacing w:val="16"/>
          <w:sz w:val="20"/>
          <w:szCs w:val="20"/>
        </w:rPr>
        <w:t>2024年</w:t>
      </w:r>
      <w:r>
        <w:rPr>
          <w:rFonts w:hint="eastAsia" w:ascii="黑体" w:hAnsi="黑体" w:eastAsia="黑体" w:cs="黑体"/>
          <w:spacing w:val="16"/>
          <w:sz w:val="20"/>
          <w:szCs w:val="20"/>
          <w:lang w:eastAsia="zh-CN"/>
        </w:rPr>
        <w:t>镇原县消防救援大队</w:t>
      </w:r>
      <w:r>
        <w:rPr>
          <w:rFonts w:hint="eastAsia" w:ascii="黑体" w:hAnsi="黑体" w:eastAsia="黑体" w:cs="黑体"/>
          <w:spacing w:val="16"/>
          <w:sz w:val="20"/>
          <w:szCs w:val="20"/>
        </w:rPr>
        <w:t>本部门</w:t>
      </w:r>
      <w:r>
        <w:rPr>
          <w:rFonts w:hint="eastAsia" w:ascii="黑体" w:hAnsi="黑体" w:eastAsia="黑体" w:cs="黑体"/>
          <w:spacing w:val="15"/>
          <w:sz w:val="20"/>
          <w:szCs w:val="20"/>
        </w:rPr>
        <w:t>预算中没有使用国有资本经营预算拨款安排的支出</w:t>
      </w:r>
      <w:r>
        <w:rPr>
          <w:rFonts w:hint="eastAsia" w:ascii="黑体" w:hAnsi="黑体" w:eastAsia="黑体" w:cs="黑体"/>
          <w:spacing w:val="-20"/>
          <w:sz w:val="20"/>
          <w:szCs w:val="20"/>
        </w:rPr>
        <w:t xml:space="preserve"> </w:t>
      </w:r>
      <w:r>
        <w:rPr>
          <w:rFonts w:hint="eastAsia" w:ascii="黑体" w:hAnsi="黑体" w:eastAsia="黑体" w:cs="黑体"/>
          <w:spacing w:val="15"/>
          <w:sz w:val="20"/>
          <w:szCs w:val="20"/>
        </w:rPr>
        <w:t>。</w:t>
      </w:r>
      <w:r>
        <w:rPr>
          <w:rFonts w:hint="eastAsia" w:ascii="黑体" w:hAnsi="黑体" w:eastAsia="黑体" w:cs="黑体"/>
          <w:spacing w:val="-20"/>
          <w:sz w:val="20"/>
          <w:szCs w:val="20"/>
        </w:rPr>
        <w:t xml:space="preserve"> </w:t>
      </w:r>
      <w:r>
        <w:rPr>
          <w:rFonts w:hint="eastAsia" w:ascii="黑体" w:hAnsi="黑体" w:eastAsia="黑体" w:cs="黑体"/>
          <w:spacing w:val="15"/>
          <w:sz w:val="20"/>
          <w:szCs w:val="20"/>
        </w:rPr>
        <w:t>）</w:t>
      </w:r>
    </w:p>
    <w:p>
      <w:pPr>
        <w:spacing w:line="229" w:lineRule="auto"/>
        <w:rPr>
          <w:rFonts w:hint="eastAsia" w:ascii="黑体" w:hAnsi="黑体" w:eastAsia="黑体" w:cs="黑体"/>
          <w:sz w:val="20"/>
          <w:szCs w:val="20"/>
        </w:rPr>
        <w:sectPr>
          <w:headerReference r:id="rId19" w:type="default"/>
          <w:footerReference r:id="rId20" w:type="default"/>
          <w:pgSz w:w="11907" w:h="16840"/>
          <w:pgMar w:top="400" w:right="1082" w:bottom="849" w:left="1193" w:header="0" w:footer="632" w:gutter="0"/>
          <w:pgNumType w:fmt="numberInDash"/>
          <w:cols w:space="720" w:num="1"/>
        </w:sectPr>
      </w:pPr>
    </w:p>
    <w:p>
      <w:pPr>
        <w:pStyle w:val="4"/>
        <w:spacing w:line="241" w:lineRule="auto"/>
      </w:pPr>
    </w:p>
    <w:p>
      <w:pPr>
        <w:pStyle w:val="4"/>
        <w:spacing w:line="242" w:lineRule="auto"/>
      </w:pPr>
    </w:p>
    <w:p>
      <w:pPr>
        <w:pStyle w:val="4"/>
        <w:spacing w:line="242" w:lineRule="auto"/>
      </w:pPr>
    </w:p>
    <w:p>
      <w:pPr>
        <w:pStyle w:val="4"/>
        <w:spacing w:line="242" w:lineRule="auto"/>
      </w:pPr>
    </w:p>
    <w:p>
      <w:pPr>
        <w:pStyle w:val="4"/>
        <w:spacing w:line="242" w:lineRule="auto"/>
      </w:pPr>
    </w:p>
    <w:p>
      <w:pPr>
        <w:spacing w:before="59" w:line="230" w:lineRule="auto"/>
        <w:ind w:right="22"/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4"/>
          <w:sz w:val="18"/>
          <w:szCs w:val="18"/>
        </w:rPr>
        <w:t>部门公开表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>9</w:t>
      </w:r>
    </w:p>
    <w:p>
      <w:pPr>
        <w:spacing w:before="193" w:line="188" w:lineRule="auto"/>
        <w:ind w:left="4540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40" w:name="bookmark17"/>
      <w:bookmarkEnd w:id="40"/>
      <w:r>
        <w:rPr>
          <w:rFonts w:hint="eastAsia" w:ascii="黑体" w:hAnsi="黑体" w:eastAsia="黑体" w:cs="黑体"/>
          <w:spacing w:val="16"/>
          <w:sz w:val="32"/>
          <w:szCs w:val="32"/>
        </w:rPr>
        <w:t>财政拨款预算“三公”经费支出表</w:t>
      </w:r>
    </w:p>
    <w:p>
      <w:pPr>
        <w:spacing w:before="145" w:line="220" w:lineRule="auto"/>
        <w:ind w:right="14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单位：万元</w:t>
      </w:r>
    </w:p>
    <w:p>
      <w:pPr>
        <w:spacing w:line="20" w:lineRule="exact"/>
      </w:pPr>
    </w:p>
    <w:tbl>
      <w:tblPr>
        <w:tblStyle w:val="9"/>
        <w:tblW w:w="134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4"/>
        <w:gridCol w:w="2152"/>
        <w:gridCol w:w="2266"/>
        <w:gridCol w:w="2266"/>
        <w:gridCol w:w="2266"/>
        <w:gridCol w:w="22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497" w:type="dxa"/>
            <w:gridSpan w:val="6"/>
            <w:vAlign w:val="top"/>
          </w:tcPr>
          <w:p>
            <w:pPr>
              <w:spacing w:before="246" w:line="203" w:lineRule="auto"/>
              <w:ind w:left="6129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2024年预算数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2274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spacing w:line="313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spacing w:before="98" w:line="238" w:lineRule="exact"/>
              <w:ind w:left="911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合计</w:t>
            </w:r>
          </w:p>
        </w:tc>
        <w:tc>
          <w:tcPr>
            <w:tcW w:w="2152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spacing w:line="311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spacing w:before="99" w:line="239" w:lineRule="exact"/>
              <w:ind w:left="276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因公出国(境)费</w:t>
            </w:r>
          </w:p>
        </w:tc>
        <w:tc>
          <w:tcPr>
            <w:tcW w:w="6798" w:type="dxa"/>
            <w:gridSpan w:val="3"/>
            <w:vAlign w:val="top"/>
          </w:tcPr>
          <w:p>
            <w:pPr>
              <w:spacing w:line="245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spacing w:before="98" w:line="239" w:lineRule="exact"/>
              <w:ind w:left="2387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公务用车购置及运行费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spacing w:line="311" w:lineRule="auto"/>
              <w:rPr>
                <w:rFonts w:ascii="Arial"/>
                <w:b/>
                <w:bCs/>
                <w:sz w:val="20"/>
                <w:szCs w:val="20"/>
              </w:rPr>
            </w:pPr>
          </w:p>
          <w:p>
            <w:pPr>
              <w:spacing w:before="99" w:line="239" w:lineRule="exact"/>
              <w:ind w:left="626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公务接待费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vAlign w:val="top"/>
          </w:tcPr>
          <w:p>
            <w:pPr>
              <w:spacing w:before="285" w:line="236" w:lineRule="exact"/>
              <w:ind w:left="918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小计</w:t>
            </w:r>
          </w:p>
        </w:tc>
        <w:tc>
          <w:tcPr>
            <w:tcW w:w="2266" w:type="dxa"/>
            <w:vAlign w:val="center"/>
          </w:tcPr>
          <w:p>
            <w:pPr>
              <w:spacing w:before="113" w:line="174" w:lineRule="auto"/>
              <w:ind w:left="806" w:right="732" w:hanging="85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公务用车购置费</w:t>
            </w:r>
          </w:p>
        </w:tc>
        <w:tc>
          <w:tcPr>
            <w:tcW w:w="2266" w:type="dxa"/>
            <w:vAlign w:val="center"/>
          </w:tcPr>
          <w:p>
            <w:pPr>
              <w:spacing w:before="113" w:line="174" w:lineRule="auto"/>
              <w:ind w:left="811" w:right="724" w:hanging="88"/>
              <w:jc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公务车运行费</w:t>
            </w:r>
          </w:p>
        </w:tc>
        <w:tc>
          <w:tcPr>
            <w:tcW w:w="22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2274" w:type="dxa"/>
            <w:vAlign w:val="center"/>
          </w:tcPr>
          <w:p>
            <w:pPr>
              <w:spacing w:before="52" w:line="196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before="52" w:line="196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before="52" w:line="196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before="52" w:line="196" w:lineRule="auto"/>
              <w:ind w:firstLine="1080" w:firstLineChars="600"/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52" w:type="dxa"/>
            <w:vAlign w:val="center"/>
          </w:tcPr>
          <w:p>
            <w:pPr>
              <w:ind w:firstLine="540" w:firstLineChars="30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firstLine="540" w:firstLineChars="30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firstLine="540" w:firstLineChars="30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ind w:firstLine="1080" w:firstLineChars="600"/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66" w:type="dxa"/>
            <w:vAlign w:val="center"/>
          </w:tcPr>
          <w:p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9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2" w:line="196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66" w:type="dxa"/>
            <w:vAlign w:val="center"/>
          </w:tcPr>
          <w:p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1" w:line="196" w:lineRule="auto"/>
              <w:ind w:right="2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>0</w:t>
            </w:r>
          </w:p>
        </w:tc>
        <w:tc>
          <w:tcPr>
            <w:tcW w:w="2266" w:type="dxa"/>
            <w:vAlign w:val="center"/>
          </w:tcPr>
          <w:p>
            <w:pPr>
              <w:spacing w:before="52" w:line="196" w:lineRule="auto"/>
              <w:ind w:firstLine="1080" w:firstLineChars="60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before="52" w:line="196" w:lineRule="auto"/>
              <w:ind w:firstLine="1080" w:firstLineChars="60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before="52" w:line="196" w:lineRule="auto"/>
              <w:ind w:firstLine="1080" w:firstLineChars="60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before="52" w:line="196" w:lineRule="auto"/>
              <w:ind w:firstLine="1080" w:firstLineChars="60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73" w:type="dxa"/>
            <w:vAlign w:val="center"/>
          </w:tcPr>
          <w:p>
            <w:pPr>
              <w:spacing w:before="52" w:line="196" w:lineRule="auto"/>
              <w:ind w:firstLine="1080" w:firstLineChars="60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before="52" w:line="196" w:lineRule="auto"/>
              <w:ind w:firstLine="1080" w:firstLineChars="60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before="52" w:line="196" w:lineRule="auto"/>
              <w:ind w:firstLine="1080" w:firstLineChars="60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before="52" w:line="196" w:lineRule="auto"/>
              <w:ind w:firstLine="1080" w:firstLineChars="60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pStyle w:val="4"/>
        <w:jc w:val="both"/>
      </w:pPr>
    </w:p>
    <w:p>
      <w:pPr>
        <w:sectPr>
          <w:footerReference r:id="rId21" w:type="default"/>
          <w:pgSz w:w="16840" w:h="11907"/>
          <w:pgMar w:top="400" w:right="1727" w:bottom="850" w:left="1609" w:header="0" w:footer="634" w:gutter="0"/>
          <w:pgNumType w:fmt="numberInDash"/>
          <w:cols w:space="720" w:num="1"/>
        </w:sectPr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</w:p>
    <w:p>
      <w:pPr>
        <w:pStyle w:val="4"/>
        <w:spacing w:line="241" w:lineRule="auto"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105410</wp:posOffset>
            </wp:positionV>
            <wp:extent cx="7548245" cy="889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54824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23" w:line="183" w:lineRule="auto"/>
        <w:ind w:left="1183"/>
        <w:outlineLvl w:val="0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</wp:posOffset>
                </wp:positionV>
                <wp:extent cx="7548245" cy="2148840"/>
                <wp:effectExtent l="0" t="0" r="14605" b="3810"/>
                <wp:wrapNone/>
                <wp:docPr id="28" name="R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-39741"/>
                          <a:ext cx="7548244" cy="2148840"/>
                        </a:xfrm>
                        <a:prstGeom prst="rect">
                          <a:avLst/>
                        </a:prstGeom>
                        <a:solidFill>
                          <a:srgbClr val="9FD565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8" o:spid="_x0000_s1026" o:spt="1" style="position:absolute;left:0pt;margin-left:0pt;margin-top:-3.1pt;height:169.2pt;width:594.35pt;z-index:-251652096;mso-width-relative:page;mso-height-relative:page;" fillcolor="#9FD565" filled="t" stroked="f" coordsize="21600,21600" o:gfxdata="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5SIfE1wAAAAgBAAAPAAAAAAAAAAEAIAAAACIAAABkcnMvZG93bnJldi54bWxQSwEC&#10;FAAUAAAACACHTuJA3ttQ6C4CAABqBAAADgAAAAAAAAABACAAAAAmAQAAZHJzL2Uyb0RvYy54bWxQ&#10;SwUGAAAAAAYABgBZAQAAxgUAAAAA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bookmarkStart w:id="41" w:name="bookmark19"/>
      <w:bookmarkEnd w:id="41"/>
      <w:r>
        <w:rPr>
          <w:rFonts w:hint="eastAsia" w:ascii="方正小标宋_GBK" w:hAnsi="方正小标宋_GBK" w:eastAsia="方正小标宋_GBK" w:cs="方正小标宋_GBK"/>
          <w:spacing w:val="-2"/>
          <w:sz w:val="52"/>
          <w:szCs w:val="52"/>
        </w:rPr>
        <w:t>第三部分</w:t>
      </w:r>
    </w:p>
    <w:p>
      <w:pPr>
        <w:spacing w:before="267" w:line="185" w:lineRule="auto"/>
        <w:ind w:left="3175"/>
        <w:outlineLvl w:val="0"/>
        <w:rPr>
          <w:rFonts w:hint="eastAsia" w:ascii="方正小标宋_GBK" w:hAnsi="方正小标宋_GBK" w:eastAsia="方正小标宋_GBK" w:cs="方正小标宋_GBK"/>
          <w:sz w:val="61"/>
          <w:szCs w:val="61"/>
          <w:lang w:eastAsia="zh-CN"/>
        </w:rPr>
      </w:pPr>
      <w:bookmarkStart w:id="42" w:name="bookmark19"/>
      <w:bookmarkEnd w:id="42"/>
      <w:r>
        <w:rPr>
          <w:rFonts w:hint="eastAsia" w:ascii="方正小标宋_GBK" w:hAnsi="方正小标宋_GBK" w:eastAsia="方正小标宋_GBK" w:cs="方正小标宋_GBK"/>
          <w:spacing w:val="8"/>
          <w:sz w:val="61"/>
          <w:szCs w:val="61"/>
          <w:lang w:eastAsia="zh-CN"/>
        </w:rPr>
        <w:t>镇原县消防救援大队</w:t>
      </w:r>
    </w:p>
    <w:p>
      <w:pPr>
        <w:spacing w:before="30" w:line="185" w:lineRule="auto"/>
        <w:ind w:left="2471"/>
        <w:outlineLvl w:val="0"/>
        <w:rPr>
          <w:rFonts w:hint="eastAsia" w:ascii="方正小标宋_GBK" w:hAnsi="方正小标宋_GBK" w:eastAsia="方正小标宋_GBK" w:cs="方正小标宋_GBK"/>
          <w:sz w:val="61"/>
          <w:szCs w:val="61"/>
        </w:rPr>
      </w:pPr>
      <w:r>
        <w:rPr>
          <w:rFonts w:hint="eastAsia" w:ascii="方正小标宋_GBK" w:hAnsi="方正小标宋_GBK" w:eastAsia="方正小标宋_GBK" w:cs="方正小标宋_GBK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961390</wp:posOffset>
            </wp:positionV>
            <wp:extent cx="7548245" cy="889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54824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3" w:name="bookmark19"/>
      <w:bookmarkEnd w:id="43"/>
      <w:r>
        <w:rPr>
          <w:rFonts w:hint="eastAsia" w:ascii="方正小标宋_GBK" w:hAnsi="方正小标宋_GBK" w:eastAsia="方正小标宋_GBK" w:cs="方正小标宋_GBK"/>
          <w:spacing w:val="-7"/>
          <w:sz w:val="61"/>
          <w:szCs w:val="61"/>
        </w:rPr>
        <w:t>2024 年部门预算情况说明</w:t>
      </w:r>
    </w:p>
    <w:p>
      <w:pPr>
        <w:spacing w:line="185" w:lineRule="auto"/>
        <w:rPr>
          <w:rFonts w:ascii="微软雅黑" w:hAnsi="微软雅黑" w:eastAsia="微软雅黑" w:cs="微软雅黑"/>
          <w:sz w:val="61"/>
          <w:szCs w:val="61"/>
        </w:rPr>
        <w:sectPr>
          <w:footerReference r:id="rId22" w:type="default"/>
          <w:pgSz w:w="11907" w:h="16840"/>
          <w:pgMar w:top="400" w:right="0" w:bottom="849" w:left="20" w:header="0" w:footer="632" w:gutter="0"/>
          <w:pgNumType w:fmt="numberInDash"/>
          <w:cols w:space="720" w:num="1"/>
        </w:sectPr>
      </w:pPr>
    </w:p>
    <w:p>
      <w:pPr>
        <w:pStyle w:val="4"/>
        <w:spacing w:line="280" w:lineRule="auto"/>
      </w:pPr>
    </w:p>
    <w:p>
      <w:pPr>
        <w:spacing w:before="132" w:line="220" w:lineRule="auto"/>
        <w:ind w:left="5"/>
        <w:rPr>
          <w:rFonts w:hint="eastAsia" w:ascii="方正小标宋_GBK" w:hAnsi="方正小标宋_GBK" w:eastAsia="方正小标宋_GBK" w:cs="方正小标宋_GBK"/>
          <w:spacing w:val="13"/>
          <w:sz w:val="34"/>
          <w:szCs w:val="34"/>
          <w:lang w:eastAsia="zh-CN"/>
        </w:rPr>
      </w:pPr>
    </w:p>
    <w:p>
      <w:pPr>
        <w:spacing w:before="132" w:line="220" w:lineRule="auto"/>
        <w:ind w:left="5"/>
        <w:rPr>
          <w:rFonts w:ascii="方正小标宋_GBK" w:hAnsi="方正小标宋_GBK" w:eastAsia="方正小标宋_GBK" w:cs="方正小标宋_GBK"/>
          <w:sz w:val="34"/>
          <w:szCs w:val="34"/>
        </w:rPr>
      </w:pPr>
      <w:r>
        <w:rPr>
          <w:rFonts w:hint="eastAsia" w:ascii="方正小标宋_GBK" w:hAnsi="方正小标宋_GBK" w:eastAsia="方正小标宋_GBK" w:cs="方正小标宋_GBK"/>
          <w:spacing w:val="13"/>
          <w:sz w:val="34"/>
          <w:szCs w:val="34"/>
          <w:lang w:eastAsia="zh-CN"/>
        </w:rPr>
        <w:t>镇原县消防救援大队</w:t>
      </w:r>
      <w:r>
        <w:rPr>
          <w:rFonts w:ascii="方正小标宋_GBK" w:hAnsi="方正小标宋_GBK" w:eastAsia="方正小标宋_GBK" w:cs="方正小标宋_GBK"/>
          <w:spacing w:val="13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4"/>
          <w:szCs w:val="34"/>
        </w:rPr>
        <w:t>2024</w:t>
      </w:r>
      <w:r>
        <w:rPr>
          <w:rFonts w:ascii="Times New Roman" w:hAnsi="Times New Roman" w:eastAsia="Times New Roman" w:cs="Times New Roman"/>
          <w:spacing w:val="29"/>
          <w:sz w:val="34"/>
          <w:szCs w:val="34"/>
        </w:rPr>
        <w:t xml:space="preserve"> </w:t>
      </w:r>
      <w:r>
        <w:rPr>
          <w:rFonts w:ascii="方正小标宋_GBK" w:hAnsi="方正小标宋_GBK" w:eastAsia="方正小标宋_GBK" w:cs="方正小标宋_GBK"/>
          <w:spacing w:val="13"/>
          <w:sz w:val="34"/>
          <w:szCs w:val="34"/>
        </w:rPr>
        <w:t xml:space="preserve">年部门预算 </w:t>
      </w:r>
      <w:r>
        <w:rPr>
          <w:sz w:val="34"/>
          <w:szCs w:val="34"/>
        </w:rPr>
        <w:drawing>
          <wp:inline distT="0" distB="0" distL="0" distR="0">
            <wp:extent cx="187325" cy="19939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87452" cy="19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_GBK" w:hAnsi="方正小标宋_GBK" w:eastAsia="方正小标宋_GBK" w:cs="方正小标宋_GBK"/>
          <w:spacing w:val="44"/>
          <w:sz w:val="34"/>
          <w:szCs w:val="34"/>
        </w:rPr>
        <w:t xml:space="preserve"> </w:t>
      </w:r>
      <w:r>
        <w:rPr>
          <w:rFonts w:ascii="方正小标宋_GBK" w:hAnsi="方正小标宋_GBK" w:eastAsia="方正小标宋_GBK" w:cs="方正小标宋_GBK"/>
          <w:spacing w:val="12"/>
          <w:sz w:val="34"/>
          <w:szCs w:val="34"/>
        </w:rPr>
        <w:t>情况说明</w:t>
      </w:r>
    </w:p>
    <w:p>
      <w:pPr>
        <w:pStyle w:val="4"/>
        <w:spacing w:line="392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600" w:lineRule="exact"/>
        <w:ind w:left="648"/>
        <w:textAlignment w:val="baseline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ascii="方正黑体_GBK" w:hAnsi="方正黑体_GBK" w:eastAsia="方正黑体_GBK" w:cs="方正黑体_GBK"/>
          <w:spacing w:val="8"/>
          <w:sz w:val="30"/>
          <w:szCs w:val="30"/>
        </w:rPr>
        <w:t>一</w:t>
      </w:r>
      <w:r>
        <w:rPr>
          <w:rFonts w:ascii="方正黑体_GBK" w:hAnsi="方正黑体_GBK" w:eastAsia="方正黑体_GBK" w:cs="方正黑体_GBK"/>
          <w:spacing w:val="-41"/>
          <w:sz w:val="30"/>
          <w:szCs w:val="30"/>
        </w:rPr>
        <w:t xml:space="preserve"> </w:t>
      </w:r>
      <w:r>
        <w:rPr>
          <w:rFonts w:ascii="方正黑体_GBK" w:hAnsi="方正黑体_GBK" w:eastAsia="方正黑体_GBK" w:cs="方正黑体_GBK"/>
          <w:spacing w:val="8"/>
          <w:sz w:val="30"/>
          <w:szCs w:val="30"/>
        </w:rPr>
        <w:t>、</w:t>
      </w:r>
      <w:r>
        <w:rPr>
          <w:rFonts w:ascii="方正黑体_GBK" w:hAnsi="方正黑体_GBK" w:eastAsia="方正黑体_GBK" w:cs="方正黑体_GBK"/>
          <w:spacing w:val="-38"/>
          <w:sz w:val="30"/>
          <w:szCs w:val="30"/>
        </w:rPr>
        <w:t xml:space="preserve"> </w:t>
      </w:r>
      <w:r>
        <w:rPr>
          <w:rFonts w:ascii="方正黑体_GBK" w:hAnsi="方正黑体_GBK" w:eastAsia="方正黑体_GBK" w:cs="方正黑体_GBK"/>
          <w:spacing w:val="8"/>
          <w:sz w:val="30"/>
          <w:szCs w:val="30"/>
        </w:rPr>
        <w:t>部门收支总体情况说明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textAlignment w:val="baseline"/>
        <w:outlineLvl w:val="9"/>
        <w:rPr>
          <w:rFonts w:hint="eastAsia" w:ascii="Times New Roman" w:hAnsi="Times New Roman" w:eastAsia="方正仿宋_GBK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按照综合预算的原则，镇原县消防救援大队所有收入和支出 均纳入部门预算管理。收入包括：一般公共预算拨款收入、其他收入、上年结转；支出包括：灾害防治及应急管理支出。地方财政拨款收入在“其他收入”中反映，</w:t>
      </w: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2024 年度收支总预算1118.46万元</w:t>
      </w: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600" w:lineRule="exact"/>
        <w:ind w:left="648"/>
        <w:textAlignment w:val="baseline"/>
        <w:rPr>
          <w:rFonts w:ascii="方正黑体_GBK" w:hAnsi="方正黑体_GBK" w:eastAsia="方正黑体_GBK" w:cs="方正黑体_GBK"/>
          <w:spacing w:val="8"/>
          <w:sz w:val="30"/>
          <w:szCs w:val="30"/>
        </w:rPr>
      </w:pPr>
      <w:r>
        <w:rPr>
          <w:rFonts w:ascii="方正黑体_GBK" w:hAnsi="方正黑体_GBK" w:eastAsia="方正黑体_GBK" w:cs="方正黑体_GBK"/>
          <w:spacing w:val="8"/>
          <w:sz w:val="30"/>
          <w:szCs w:val="30"/>
        </w:rPr>
        <w:t>二 、 部门收入情况说明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镇原县消防救援大队 2024 年度收入预算预算1118.46万元，其中：上年结转 32.89万元，占3%；一般公共预算拨款收入 55.97万元， 占5%；其他收入1029.6万元，占92%。</w:t>
      </w:r>
    </w:p>
    <w:p>
      <w:pPr>
        <w:spacing w:line="240" w:lineRule="auto"/>
        <w:sectPr>
          <w:footerReference r:id="rId23" w:type="default"/>
          <w:pgSz w:w="11907" w:h="16840"/>
          <w:pgMar w:top="400" w:right="1240" w:bottom="811" w:left="1613" w:header="0" w:footer="641" w:gutter="0"/>
          <w:pgNumType w:fmt="numberInDash"/>
          <w:cols w:space="720" w:num="1"/>
        </w:sect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676275</wp:posOffset>
            </wp:positionV>
            <wp:extent cx="4839970" cy="3204210"/>
            <wp:effectExtent l="0" t="0" r="6350" b="11430"/>
            <wp:wrapNone/>
            <wp:docPr id="7" name="图片 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600" w:lineRule="exact"/>
        <w:ind w:left="648"/>
        <w:textAlignment w:val="baseline"/>
        <w:rPr>
          <w:rFonts w:ascii="方正黑体_GBK" w:hAnsi="方正黑体_GBK" w:eastAsia="方正黑体_GBK" w:cs="方正黑体_GBK"/>
          <w:spacing w:val="8"/>
          <w:sz w:val="30"/>
          <w:szCs w:val="30"/>
        </w:rPr>
      </w:pPr>
      <w:r>
        <w:rPr>
          <w:rFonts w:ascii="方正黑体_GBK" w:hAnsi="方正黑体_GBK" w:eastAsia="方正黑体_GBK" w:cs="方正黑体_GBK"/>
          <w:spacing w:val="8"/>
          <w:sz w:val="30"/>
          <w:szCs w:val="30"/>
        </w:rPr>
        <w:t>三 、 部门支出情况说明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镇原县消防救援大队2024年度支出预算1118.46万元，其中：基本支出563.27万元，占50.36 % ；项目支出 555.19万元，占49.64 % </w:t>
      </w: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spacing w:line="4520" w:lineRule="exact"/>
        <w:ind w:firstLine="575"/>
        <w:rPr>
          <w:rFonts w:ascii="方正黑体_GBK" w:hAnsi="方正黑体_GBK" w:eastAsia="方正黑体_GBK" w:cs="方正黑体_GBK"/>
          <w:spacing w:val="7"/>
          <w:sz w:val="30"/>
          <w:szCs w:val="30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177800</wp:posOffset>
            </wp:positionV>
            <wp:extent cx="4839970" cy="2587625"/>
            <wp:effectExtent l="0" t="0" r="6350" b="3175"/>
            <wp:wrapNone/>
            <wp:docPr id="9" name="图片 9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2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600" w:lineRule="exact"/>
        <w:ind w:left="648"/>
        <w:textAlignment w:val="baseline"/>
        <w:rPr>
          <w:rFonts w:ascii="方正黑体_GBK" w:hAnsi="方正黑体_GBK" w:eastAsia="方正黑体_GBK" w:cs="方正黑体_GBK"/>
          <w:spacing w:val="8"/>
          <w:sz w:val="30"/>
          <w:szCs w:val="30"/>
        </w:rPr>
      </w:pPr>
      <w:r>
        <w:rPr>
          <w:rFonts w:ascii="方正黑体_GBK" w:hAnsi="方正黑体_GBK" w:eastAsia="方正黑体_GBK" w:cs="方正黑体_GBK"/>
          <w:spacing w:val="8"/>
          <w:sz w:val="30"/>
          <w:szCs w:val="30"/>
        </w:rPr>
        <w:t>四 、 财政拨款收支总体情况说明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镇原县消防救援大队 2024 年财政拨款收支总预算55.97万元 。收入包括：一般公共预算拨款55.97万元。支出包括：灾害防治及应急管理支出55.97万元。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600" w:lineRule="exact"/>
        <w:ind w:left="648"/>
        <w:textAlignment w:val="baseline"/>
        <w:rPr>
          <w:rFonts w:hint="eastAsia" w:ascii="方正黑体_GBK" w:hAnsi="方正黑体_GBK" w:eastAsia="方正黑体_GBK" w:cs="方正黑体_GBK"/>
          <w:spacing w:val="8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pacing w:val="8"/>
          <w:sz w:val="30"/>
          <w:szCs w:val="30"/>
        </w:rPr>
        <w:t>五 、 财政拨款一般公共预算支出情况说明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镇原县消防救援大队 2024年一般公共预算财政拨款支出预算55.97万元，比2023年部门预算执行数51.87</w:t>
      </w: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增加 4.1万元，增加7.9% 。2024年，按照党中央、国务院关于“ 过紧日子”有关要求，镇原县消</w:t>
      </w: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防救援大队厉行节约办一切事业，严控一般性支出。同时坚持有保有压，优化支出结构，合理保障应对处置各类灾害事故、国家综合性消防救援队伍建设等重点支出需求，体现在有关支出科目中。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按照支出功能分类 ，2024年预算数比2023年执行数增（减）较为明显的款级支出科目为22402消防救援事务，其中：灾害防治及应急管理支出2024年预算数比2023年执行数增加 4.1万元，增加 7.9%，</w:t>
      </w: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主要原因伙食补助费增加。按照支出功能分类，灾害防治及应急管理支出规模较大，主要是：</w:t>
      </w: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22402消防救援事务2024年预算数为55.97万元， 占部门算支出总额的100% 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</w:p>
    <w:p>
      <w:pPr>
        <w:pStyle w:val="2"/>
        <w:spacing w:line="240" w:lineRule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drawing>
          <wp:inline distT="0" distB="0" distL="114300" distR="114300">
            <wp:extent cx="4587875" cy="2758440"/>
            <wp:effectExtent l="0" t="0" r="14605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87875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32" w:firstLineChars="200"/>
        <w:textAlignment w:val="baseline"/>
        <w:outlineLvl w:val="9"/>
        <w:rPr>
          <w:rFonts w:hint="eastAsia" w:ascii="方正黑体_GBK" w:hAnsi="方正黑体_GBK" w:eastAsia="方正黑体_GBK" w:cs="方正黑体_GBK"/>
          <w:spacing w:val="8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8"/>
          <w:sz w:val="30"/>
          <w:szCs w:val="30"/>
          <w:lang w:val="en-US" w:eastAsia="zh-CN"/>
        </w:rPr>
        <w:t>六 、 一般公共预算基本支出情况说明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left"/>
        <w:textAlignment w:val="baseline"/>
        <w:outlineLvl w:val="9"/>
        <w:rPr>
          <w:rFonts w:hint="eastAsia" w:ascii="方正黑体_GBK" w:hAnsi="方正黑体_GBK" w:eastAsia="方正黑体_GBK" w:cs="方正黑体_GBK"/>
          <w:spacing w:val="8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镇原县消防救援大</w:t>
      </w: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队2024年一般公共预算基本支出15.95万</w:t>
      </w: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元，全部为日常公用经费，包括：电费、专用燃料费、 印刷费、取暖费。</w:t>
      </w:r>
      <w:r>
        <w:rPr>
          <w:rFonts w:hint="eastAsia" w:ascii="Times New Roman" w:hAnsi="Times New Roman" w:eastAsia="方正仿宋_GBK" w:cs="仿宋_GB2312"/>
          <w:snapToGrid w:val="0"/>
          <w:color w:val="auto"/>
          <w:kern w:val="0"/>
          <w:sz w:val="30"/>
          <w:szCs w:val="30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0"/>
          <w:szCs w:val="30"/>
          <w:highlight w:val="none"/>
          <w:lang w:val="en-US" w:eastAsia="zh-CN" w:bidi="ar-SA"/>
        </w:rPr>
        <w:t xml:space="preserve">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32" w:firstLineChars="200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pacing w:val="8"/>
          <w:sz w:val="30"/>
          <w:szCs w:val="30"/>
          <w:lang w:val="en-US" w:eastAsia="zh-CN"/>
        </w:rPr>
        <w:t>七 、 财政拨款预算“三公”经费支出情况说明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镇原县消防救援大队</w:t>
      </w: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2024</w:t>
      </w: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年无财政拨款预算“三公”经费支出。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32" w:firstLineChars="200"/>
        <w:textAlignment w:val="baseline"/>
        <w:outlineLvl w:val="9"/>
        <w:rPr>
          <w:rFonts w:hint="eastAsia" w:ascii="方正黑体_GBK" w:hAnsi="方正黑体_GBK" w:eastAsia="方正黑体_GBK" w:cs="方正黑体_GBK"/>
          <w:spacing w:val="8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8"/>
          <w:sz w:val="30"/>
          <w:szCs w:val="30"/>
          <w:lang w:val="en-US" w:eastAsia="zh-CN"/>
        </w:rPr>
        <w:t>八 、 提交全国人大审议项目的文本和绩效目标表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镇原县消防救援大队无提交全国人大审议的项目。项目绩效目标表详见附件。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32" w:firstLineChars="200"/>
        <w:textAlignment w:val="baseline"/>
        <w:outlineLvl w:val="9"/>
        <w:rPr>
          <w:rFonts w:hint="eastAsia" w:ascii="方正黑体_GBK" w:hAnsi="方正黑体_GBK" w:eastAsia="方正黑体_GBK" w:cs="方正黑体_GBK"/>
          <w:spacing w:val="8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8"/>
          <w:sz w:val="30"/>
          <w:szCs w:val="30"/>
          <w:lang w:val="en-US" w:eastAsia="zh-CN"/>
        </w:rPr>
        <w:t>九 、 其他重要事项情况说明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16" w:firstLineChars="200"/>
        <w:textAlignment w:val="baseline"/>
        <w:rPr>
          <w:rFonts w:hint="eastAsia" w:ascii="方正楷体_GBK" w:hAnsi="方正楷体_GBK" w:eastAsia="方正楷体_GBK" w:cs="方正楷体_GBK"/>
          <w:spacing w:val="4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4"/>
          <w:sz w:val="30"/>
          <w:szCs w:val="30"/>
          <w:lang w:val="en-US" w:eastAsia="zh-CN"/>
        </w:rPr>
        <w:t>（一）机关运行经费情况说明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镇原县消防救援大队 2024 年机关运行经费财政拨款预算 15.95万元，与2023年无变化。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16" w:firstLineChars="200"/>
        <w:textAlignment w:val="baseline"/>
        <w:rPr>
          <w:rFonts w:hint="eastAsia" w:ascii="方正楷体_GBK" w:hAnsi="方正楷体_GBK" w:eastAsia="方正楷体_GBK" w:cs="方正楷体_GBK"/>
          <w:spacing w:val="4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4"/>
          <w:sz w:val="30"/>
          <w:szCs w:val="30"/>
          <w:lang w:val="en-US" w:eastAsia="zh-CN"/>
        </w:rPr>
        <w:t>（二）政府采购情况说明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镇原县消防救援大队 </w:t>
      </w: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2024 年政府采购预算564.72万元，其中，采购货物 564.72万元。主要为主副</w:t>
      </w: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食采购、车辆采购、被装、办公用品购置。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16" w:firstLineChars="200"/>
        <w:textAlignment w:val="baseline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楷体_GBK" w:hAnsi="方正楷体_GBK" w:eastAsia="方正楷体_GBK" w:cs="方正楷体_GBK"/>
          <w:spacing w:val="4"/>
          <w:sz w:val="30"/>
          <w:szCs w:val="30"/>
        </w:rPr>
        <w:t>（</w:t>
      </w:r>
      <w:r>
        <w:rPr>
          <w:rFonts w:ascii="方正楷体_GBK" w:hAnsi="方正楷体_GBK" w:eastAsia="方正楷体_GBK" w:cs="方正楷体_GBK"/>
          <w:spacing w:val="-37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spacing w:val="4"/>
          <w:sz w:val="30"/>
          <w:szCs w:val="30"/>
        </w:rPr>
        <w:t>三）</w:t>
      </w:r>
      <w:r>
        <w:rPr>
          <w:rFonts w:ascii="方正楷体_GBK" w:hAnsi="方正楷体_GBK" w:eastAsia="方正楷体_GBK" w:cs="方正楷体_GBK"/>
          <w:spacing w:val="-33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spacing w:val="4"/>
          <w:sz w:val="30"/>
          <w:szCs w:val="30"/>
        </w:rPr>
        <w:t>国有资产占有使用情况说明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截至2023年8月31日，镇原县消防救援大队共有车辆7辆，其中，应急保障用车2辆、执法执勤用车1辆、特种专业技术用车4辆。无单价100万元以上设备。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314" w:firstLineChars="100"/>
        <w:textAlignment w:val="baseline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方正楷体_GBK" w:hAnsi="方正楷体_GBK" w:eastAsia="方正楷体_GBK" w:cs="方正楷体_GBK"/>
          <w:spacing w:val="7"/>
          <w:sz w:val="30"/>
          <w:szCs w:val="30"/>
        </w:rPr>
        <w:t>（</w:t>
      </w:r>
      <w:r>
        <w:rPr>
          <w:rFonts w:ascii="方正楷体_GBK" w:hAnsi="方正楷体_GBK" w:eastAsia="方正楷体_GBK" w:cs="方正楷体_GBK"/>
          <w:spacing w:val="-37"/>
          <w:sz w:val="30"/>
          <w:szCs w:val="30"/>
        </w:rPr>
        <w:t xml:space="preserve"> </w:t>
      </w:r>
      <w:r>
        <w:rPr>
          <w:rFonts w:ascii="方正楷体_GBK" w:hAnsi="方正楷体_GBK" w:eastAsia="方正楷体_GBK" w:cs="方正楷体_GBK"/>
          <w:spacing w:val="7"/>
          <w:sz w:val="30"/>
          <w:szCs w:val="30"/>
        </w:rPr>
        <w:t>四）预算绩效管理情况说明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2024年对镇原县消防救援大队项目支出全面实施绩效目标管理，涉及预算拨款 555.19万元，为一般公共预算拨款和其他收入。一级项目</w:t>
      </w: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个，根据以前年度绩效评价结果，优化伙食补助</w:t>
      </w: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和装备购置</w:t>
      </w: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项目支出2024年预算安排，并进一步改进完善政策。镇原县消防救援大队在2024年度部门预算中反映伙食补助</w:t>
      </w: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和装备购置</w:t>
      </w: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项目绩效目标表</w:t>
      </w:r>
      <w:r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，见“第五部分附件”。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sectPr>
          <w:headerReference r:id="rId24" w:type="default"/>
          <w:footerReference r:id="rId25" w:type="default"/>
          <w:pgSz w:w="11907" w:h="16840"/>
          <w:pgMar w:top="400" w:right="1155" w:bottom="811" w:left="1600" w:header="0" w:footer="641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tabs>
          <w:tab w:val="left" w:pos="222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jc w:val="left"/>
        <w:textAlignment w:val="baseline"/>
        <w:rPr>
          <w:rFonts w:hint="eastAsia"/>
          <w:lang w:val="en-US" w:eastAsia="zh-CN"/>
        </w:rPr>
      </w:pPr>
      <w:bookmarkStart w:id="44" w:name="bookmark29"/>
      <w:bookmarkEnd w:id="44"/>
    </w:p>
    <w:p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pStyle w:val="2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4"/>
      </w:pPr>
    </w:p>
    <w:tbl>
      <w:tblPr>
        <w:tblStyle w:val="9"/>
        <w:tblW w:w="1188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 w:color="auto" w:fill="9FD56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3"/>
        <w:gridCol w:w="814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9FD56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3" w:hRule="atLeast"/>
        </w:trPr>
        <w:tc>
          <w:tcPr>
            <w:tcW w:w="37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9FD565"/>
            <w:vAlign w:val="top"/>
          </w:tcPr>
          <w:p>
            <w:pPr>
              <w:spacing w:before="289" w:line="183" w:lineRule="auto"/>
              <w:ind w:left="1092"/>
              <w:outlineLvl w:val="0"/>
              <w:rPr>
                <w:rFonts w:hint="eastAsia" w:ascii="方正小标宋_GBK" w:hAnsi="方正小标宋_GBK" w:eastAsia="方正小标宋_GBK" w:cs="方正小标宋_GBK"/>
                <w:sz w:val="52"/>
                <w:szCs w:val="52"/>
              </w:rPr>
            </w:pPr>
            <w:bookmarkStart w:id="45" w:name="bookmark21"/>
            <w:bookmarkEnd w:id="45"/>
            <w:r>
              <w:rPr>
                <w:rFonts w:hint="eastAsia" w:ascii="方正小标宋_GBK" w:hAnsi="方正小标宋_GBK" w:eastAsia="方正小标宋_GBK" w:cs="方正小标宋_GBK"/>
                <w:spacing w:val="-2"/>
                <w:sz w:val="52"/>
                <w:szCs w:val="52"/>
              </w:rPr>
              <w:t>第四部分</w:t>
            </w:r>
          </w:p>
        </w:tc>
        <w:tc>
          <w:tcPr>
            <w:tcW w:w="81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9FD565"/>
            <w:vAlign w:val="top"/>
          </w:tcPr>
          <w:p>
            <w:pPr>
              <w:spacing w:line="249" w:lineRule="auto"/>
              <w:rPr>
                <w:rFonts w:hint="eastAsia" w:ascii="方正小标宋_GBK" w:hAnsi="方正小标宋_GBK" w:eastAsia="方正小标宋_GBK" w:cs="方正小标宋_GBK"/>
                <w:sz w:val="21"/>
              </w:rPr>
            </w:pPr>
          </w:p>
          <w:p>
            <w:pPr>
              <w:spacing w:line="249" w:lineRule="auto"/>
              <w:rPr>
                <w:rFonts w:hint="eastAsia" w:ascii="方正小标宋_GBK" w:hAnsi="方正小标宋_GBK" w:eastAsia="方正小标宋_GBK" w:cs="方正小标宋_GBK"/>
                <w:sz w:val="21"/>
              </w:rPr>
            </w:pPr>
          </w:p>
          <w:p>
            <w:pPr>
              <w:spacing w:line="249" w:lineRule="auto"/>
              <w:rPr>
                <w:rFonts w:hint="eastAsia" w:ascii="方正小标宋_GBK" w:hAnsi="方正小标宋_GBK" w:eastAsia="方正小标宋_GBK" w:cs="方正小标宋_GBK"/>
                <w:sz w:val="21"/>
              </w:rPr>
            </w:pPr>
          </w:p>
          <w:p>
            <w:pPr>
              <w:spacing w:line="250" w:lineRule="auto"/>
              <w:rPr>
                <w:rFonts w:hint="eastAsia" w:ascii="方正小标宋_GBK" w:hAnsi="方正小标宋_GBK" w:eastAsia="方正小标宋_GBK" w:cs="方正小标宋_GBK"/>
                <w:sz w:val="21"/>
              </w:rPr>
            </w:pPr>
          </w:p>
          <w:p>
            <w:pPr>
              <w:spacing w:before="300" w:line="184" w:lineRule="auto"/>
              <w:ind w:left="657"/>
              <w:outlineLvl w:val="0"/>
              <w:rPr>
                <w:rFonts w:hint="eastAsia" w:ascii="方正小标宋_GBK" w:hAnsi="方正小标宋_GBK" w:eastAsia="方正小标宋_GBK" w:cs="方正小标宋_GBK"/>
                <w:sz w:val="70"/>
                <w:szCs w:val="70"/>
              </w:rPr>
            </w:pPr>
            <w:bookmarkStart w:id="46" w:name="bookmark21"/>
            <w:bookmarkEnd w:id="46"/>
            <w:r>
              <w:rPr>
                <w:rFonts w:hint="eastAsia" w:ascii="方正小标宋_GBK" w:hAnsi="方正小标宋_GBK" w:eastAsia="方正小标宋_GBK" w:cs="方正小标宋_GBK"/>
                <w:spacing w:val="9"/>
                <w:sz w:val="70"/>
                <w:szCs w:val="70"/>
              </w:rPr>
              <w:t>名词解释</w:t>
            </w:r>
          </w:p>
        </w:tc>
      </w:tr>
    </w:tbl>
    <w:p>
      <w:pPr>
        <w:pStyle w:val="4"/>
      </w:pPr>
    </w:p>
    <w:p>
      <w:pPr>
        <w:sectPr>
          <w:footerReference r:id="rId26" w:type="default"/>
          <w:pgSz w:w="11907" w:h="16840"/>
          <w:pgMar w:top="400" w:right="0" w:bottom="849" w:left="20" w:header="0" w:footer="632" w:gutter="0"/>
          <w:pgNumType w:fmt="numberInDash"/>
          <w:cols w:space="720" w:num="1"/>
        </w:sectPr>
      </w:pPr>
    </w:p>
    <w:p>
      <w:pPr>
        <w:pStyle w:val="4"/>
        <w:spacing w:line="270" w:lineRule="auto"/>
      </w:pPr>
    </w:p>
    <w:p>
      <w:pPr>
        <w:pStyle w:val="4"/>
        <w:spacing w:line="271" w:lineRule="auto"/>
      </w:pPr>
    </w:p>
    <w:p>
      <w:pPr>
        <w:pStyle w:val="4"/>
        <w:spacing w:line="271" w:lineRule="auto"/>
      </w:pPr>
    </w:p>
    <w:p>
      <w:pPr>
        <w:spacing w:before="172" w:line="167" w:lineRule="auto"/>
        <w:ind w:left="24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2"/>
          <w:sz w:val="40"/>
          <w:szCs w:val="40"/>
          <w:lang w:eastAsia="zh-CN"/>
        </w:rPr>
        <w:t>镇原县消防救援大队</w:t>
      </w:r>
      <w:r>
        <w:rPr>
          <w:rFonts w:ascii="方正小标宋_GBK" w:hAnsi="方正小标宋_GBK" w:eastAsia="方正小标宋_GBK" w:cs="方正小标宋_GBK"/>
          <w:spacing w:val="-2"/>
          <w:sz w:val="40"/>
          <w:szCs w:val="4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40"/>
          <w:szCs w:val="40"/>
        </w:rPr>
        <w:t xml:space="preserve">2024 </w:t>
      </w:r>
      <w:r>
        <w:rPr>
          <w:rFonts w:ascii="方正小标宋_GBK" w:hAnsi="方正小标宋_GBK" w:eastAsia="方正小标宋_GBK" w:cs="方正小标宋_GBK"/>
          <w:spacing w:val="-2"/>
          <w:sz w:val="40"/>
          <w:szCs w:val="40"/>
        </w:rPr>
        <w:t>年部门预算</w:t>
      </w:r>
      <w:r>
        <w:rPr>
          <w:rFonts w:ascii="方正小标宋_GBK" w:hAnsi="方正小标宋_GBK" w:eastAsia="方正小标宋_GBK" w:cs="方正小标宋_GBK"/>
          <w:spacing w:val="53"/>
          <w:sz w:val="40"/>
          <w:szCs w:val="40"/>
        </w:rPr>
        <w:t xml:space="preserve"> </w:t>
      </w:r>
      <w:r>
        <w:rPr>
          <w:sz w:val="34"/>
          <w:szCs w:val="34"/>
        </w:rPr>
        <w:drawing>
          <wp:inline distT="0" distB="0" distL="0" distR="0">
            <wp:extent cx="187325" cy="199390"/>
            <wp:effectExtent l="0" t="0" r="3175" b="10160"/>
            <wp:docPr id="5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3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87452" cy="19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_GBK" w:hAnsi="方正小标宋_GBK" w:eastAsia="方正小标宋_GBK" w:cs="方正小标宋_GBK"/>
          <w:spacing w:val="-2"/>
          <w:sz w:val="40"/>
          <w:szCs w:val="40"/>
        </w:rPr>
        <w:t>名词解释</w:t>
      </w:r>
    </w:p>
    <w:p>
      <w:pPr>
        <w:pStyle w:val="4"/>
        <w:spacing w:line="358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9" w:line="600" w:lineRule="exact"/>
        <w:ind w:left="0" w:right="0" w:firstLine="584" w:firstLineChars="200"/>
        <w:textAlignment w:val="baseline"/>
        <w:outlineLvl w:val="9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ascii="方正黑体_GBK" w:hAnsi="方正黑体_GBK" w:eastAsia="方正黑体_GBK" w:cs="方正黑体_GBK"/>
          <w:spacing w:val="-4"/>
          <w:sz w:val="30"/>
          <w:szCs w:val="30"/>
        </w:rPr>
        <w:t>一</w:t>
      </w:r>
      <w:r>
        <w:rPr>
          <w:rFonts w:ascii="方正黑体_GBK" w:hAnsi="方正黑体_GBK" w:eastAsia="方正黑体_GBK" w:cs="方正黑体_GBK"/>
          <w:spacing w:val="-49"/>
          <w:sz w:val="30"/>
          <w:szCs w:val="30"/>
        </w:rPr>
        <w:t xml:space="preserve"> </w:t>
      </w:r>
      <w:r>
        <w:rPr>
          <w:rFonts w:ascii="方正黑体_GBK" w:hAnsi="方正黑体_GBK" w:eastAsia="方正黑体_GBK" w:cs="方正黑体_GBK"/>
          <w:spacing w:val="-4"/>
          <w:sz w:val="30"/>
          <w:szCs w:val="30"/>
        </w:rPr>
        <w:t>、</w:t>
      </w:r>
      <w:r>
        <w:rPr>
          <w:rFonts w:ascii="方正黑体_GBK" w:hAnsi="方正黑体_GBK" w:eastAsia="方正黑体_GBK" w:cs="方正黑体_GBK"/>
          <w:spacing w:val="-53"/>
          <w:sz w:val="30"/>
          <w:szCs w:val="30"/>
        </w:rPr>
        <w:t xml:space="preserve"> </w:t>
      </w:r>
      <w:r>
        <w:rPr>
          <w:rFonts w:ascii="方正黑体_GBK" w:hAnsi="方正黑体_GBK" w:eastAsia="方正黑体_GBK" w:cs="方正黑体_GBK"/>
          <w:spacing w:val="-4"/>
          <w:sz w:val="30"/>
          <w:szCs w:val="30"/>
        </w:rPr>
        <w:t>收入类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60" w:firstLineChars="200"/>
        <w:jc w:val="both"/>
        <w:textAlignment w:val="baseline"/>
        <w:outlineLvl w:val="9"/>
        <w:rPr>
          <w:rFonts w:hint="eastAsia" w:ascii="Times New Roman" w:hAnsi="Times New Roman" w:eastAsia="方正仿宋_GBK" w:cs="方正仿宋_GBK"/>
          <w:spacing w:val="15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方正仿宋_GBK"/>
          <w:spacing w:val="15"/>
          <w:sz w:val="30"/>
          <w:szCs w:val="30"/>
        </w:rPr>
        <w:t xml:space="preserve">（ </w:t>
      </w:r>
      <w:r>
        <w:rPr>
          <w:rFonts w:hint="eastAsia" w:ascii="Times New Roman" w:hAnsi="Times New Roman" w:eastAsia="方正仿宋_GBK" w:cs="方正仿宋_GBK"/>
          <w:spacing w:val="15"/>
          <w:sz w:val="30"/>
          <w:szCs w:val="30"/>
          <w:lang w:eastAsia="zh-CN"/>
        </w:rPr>
        <w:t>一</w:t>
      </w:r>
      <w:r>
        <w:rPr>
          <w:rFonts w:hint="eastAsia" w:ascii="Times New Roman" w:hAnsi="Times New Roman" w:eastAsia="方正仿宋_GBK" w:cs="方正仿宋_GBK"/>
          <w:spacing w:val="15"/>
          <w:sz w:val="30"/>
          <w:szCs w:val="30"/>
        </w:rPr>
        <w:t xml:space="preserve"> ）一般公共预算拨款收入：指中央财政当年拨付的资金</w:t>
      </w:r>
      <w:r>
        <w:rPr>
          <w:rFonts w:hint="eastAsia" w:ascii="Times New Roman" w:hAnsi="Times New Roman" w:eastAsia="方正仿宋_GBK" w:cs="方正仿宋_GBK"/>
          <w:spacing w:val="15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60" w:firstLineChars="200"/>
        <w:jc w:val="both"/>
        <w:textAlignment w:val="baseline"/>
        <w:outlineLvl w:val="9"/>
        <w:rPr>
          <w:rFonts w:hint="eastAsia" w:ascii="Times New Roman" w:hAnsi="Times New Roman" w:eastAsia="方正仿宋_GBK" w:cs="方正仿宋_GBK"/>
          <w:spacing w:val="15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pacing w:val="15"/>
          <w:sz w:val="30"/>
          <w:szCs w:val="30"/>
        </w:rPr>
        <w:t>（ 二 ）事业收入：指事业单位开展专业业务活动及辅助活动所取得的</w:t>
      </w:r>
      <w:r>
        <w:rPr>
          <w:rFonts w:hint="eastAsia" w:ascii="Times New Roman" w:hAnsi="Times New Roman" w:eastAsia="方正仿宋_GBK" w:cs="方正仿宋_GBK"/>
          <w:spacing w:val="15"/>
          <w:sz w:val="30"/>
          <w:szCs w:val="30"/>
        </w:rPr>
        <w:fldChar w:fldCharType="begin"/>
      </w:r>
      <w:r>
        <w:rPr>
          <w:rFonts w:hint="eastAsia" w:ascii="Times New Roman" w:hAnsi="Times New Roman" w:eastAsia="方正仿宋_GBK" w:cs="方正仿宋_GBK"/>
          <w:spacing w:val="15"/>
          <w:sz w:val="30"/>
          <w:szCs w:val="30"/>
        </w:rPr>
        <w:instrText xml:space="preserve"> HYPERLINK "http://wiki.mbalib.com/wiki/%3AE8%5B" </w:instrText>
      </w:r>
      <w:r>
        <w:rPr>
          <w:rFonts w:hint="eastAsia" w:ascii="Times New Roman" w:hAnsi="Times New Roman" w:eastAsia="方正仿宋_GBK" w:cs="方正仿宋_GBK"/>
          <w:spacing w:val="15"/>
          <w:sz w:val="30"/>
          <w:szCs w:val="30"/>
        </w:rPr>
        <w:fldChar w:fldCharType="separate"/>
      </w:r>
      <w:r>
        <w:rPr>
          <w:rFonts w:hint="eastAsia" w:ascii="Times New Roman" w:hAnsi="Times New Roman" w:eastAsia="方正仿宋_GBK" w:cs="方正仿宋_GBK"/>
          <w:spacing w:val="15"/>
          <w:sz w:val="30"/>
          <w:szCs w:val="30"/>
        </w:rPr>
        <w:t>收入</w:t>
      </w:r>
      <w:r>
        <w:rPr>
          <w:rFonts w:hint="eastAsia" w:ascii="Times New Roman" w:hAnsi="Times New Roman" w:eastAsia="方正仿宋_GBK" w:cs="方正仿宋_GBK"/>
          <w:spacing w:val="15"/>
          <w:sz w:val="30"/>
          <w:szCs w:val="30"/>
        </w:rPr>
        <w:fldChar w:fldCharType="end"/>
      </w:r>
      <w:r>
        <w:rPr>
          <w:rFonts w:hint="eastAsia" w:ascii="Times New Roman" w:hAnsi="Times New Roman" w:eastAsia="方正仿宋_GBK" w:cs="方正仿宋_GBK"/>
          <w:spacing w:val="15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60" w:firstLineChars="200"/>
        <w:jc w:val="both"/>
        <w:textAlignment w:val="baseline"/>
        <w:outlineLvl w:val="9"/>
        <w:rPr>
          <w:rFonts w:hint="eastAsia" w:ascii="Times New Roman" w:hAnsi="Times New Roman" w:eastAsia="方正仿宋_GBK" w:cs="方正仿宋_GBK"/>
          <w:spacing w:val="15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pacing w:val="15"/>
          <w:sz w:val="30"/>
          <w:szCs w:val="30"/>
        </w:rPr>
        <w:t>（ 三 ）其他收入： 指除上述“ 一般公共预算拨款收入”“ 事业收入”以外的收入 。主要是各级地方财政拨款收入 、存款利息收入等。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60" w:firstLineChars="200"/>
        <w:jc w:val="both"/>
        <w:textAlignment w:val="baseline"/>
        <w:outlineLvl w:val="9"/>
        <w:rPr>
          <w:rFonts w:hint="eastAsia" w:ascii="Times New Roman" w:hAnsi="Times New Roman" w:eastAsia="方正仿宋_GBK" w:cs="方正仿宋_GBK"/>
          <w:spacing w:val="15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pacing w:val="15"/>
          <w:sz w:val="30"/>
          <w:szCs w:val="30"/>
        </w:rPr>
        <w:t>（ 四 ）上年结转：指以前年度尚未完成、结转到本年仍按 原规定用途继续使用的资金。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9" w:line="600" w:lineRule="exact"/>
        <w:ind w:left="0" w:right="0" w:firstLine="584" w:firstLineChars="200"/>
        <w:textAlignment w:val="baseline"/>
        <w:outlineLvl w:val="9"/>
        <w:rPr>
          <w:rFonts w:ascii="方正黑体_GBK" w:hAnsi="方正黑体_GBK" w:eastAsia="方正黑体_GBK" w:cs="方正黑体_GBK"/>
          <w:spacing w:val="-4"/>
          <w:sz w:val="30"/>
          <w:szCs w:val="30"/>
        </w:rPr>
      </w:pPr>
      <w:r>
        <w:rPr>
          <w:rFonts w:ascii="方正黑体_GBK" w:hAnsi="方正黑体_GBK" w:eastAsia="方正黑体_GBK" w:cs="方正黑体_GBK"/>
          <w:spacing w:val="-4"/>
          <w:sz w:val="30"/>
          <w:szCs w:val="30"/>
        </w:rPr>
        <w:t>二 、 支出类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76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6"/>
          <w:sz w:val="30"/>
          <w:szCs w:val="30"/>
        </w:rPr>
        <w:t>（</w:t>
      </w:r>
      <w:r>
        <w:rPr>
          <w:rFonts w:hint="eastAsia" w:ascii="方正仿宋_GBK" w:hAnsi="方正仿宋_GBK" w:eastAsia="方正仿宋_GBK" w:cs="方正仿宋_GBK"/>
          <w:spacing w:val="-3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0"/>
          <w:szCs w:val="30"/>
        </w:rPr>
        <w:t>一</w:t>
      </w:r>
      <w:r>
        <w:rPr>
          <w:rFonts w:hint="eastAsia" w:ascii="方正仿宋_GBK" w:hAnsi="方正仿宋_GBK" w:eastAsia="方正仿宋_GBK" w:cs="方正仿宋_GBK"/>
          <w:spacing w:val="-7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0"/>
          <w:szCs w:val="30"/>
        </w:rPr>
        <w:t>）社会保障和就业支出（类）行政事业单位养老</w:t>
      </w: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支出（款）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5"/>
          <w:sz w:val="30"/>
          <w:szCs w:val="30"/>
        </w:rPr>
        <w:t>机关事业单位基本养老保险缴费支出（项</w:t>
      </w:r>
      <w:r>
        <w:rPr>
          <w:rFonts w:hint="eastAsia" w:ascii="方正仿宋_GBK" w:hAnsi="方正仿宋_GBK" w:eastAsia="方正仿宋_GBK" w:cs="方正仿宋_GBK"/>
          <w:spacing w:val="-39"/>
          <w:sz w:val="30"/>
          <w:szCs w:val="30"/>
        </w:rPr>
        <w:t>）：</w:t>
      </w:r>
      <w:r>
        <w:rPr>
          <w:rFonts w:hint="eastAsia" w:ascii="方正仿宋_GBK" w:hAnsi="方正仿宋_GBK" w:eastAsia="方正仿宋_GBK" w:cs="方正仿宋_GBK"/>
          <w:spacing w:val="15"/>
          <w:sz w:val="30"/>
          <w:szCs w:val="30"/>
        </w:rPr>
        <w:t>指机关事业单位实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16"/>
          <w:sz w:val="30"/>
          <w:szCs w:val="30"/>
        </w:rPr>
        <w:t>施养老保险制度由单位缴纳的基本养老保险费支出。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76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6"/>
          <w:sz w:val="30"/>
          <w:szCs w:val="30"/>
        </w:rPr>
        <w:t>（</w:t>
      </w:r>
      <w:r>
        <w:rPr>
          <w:rFonts w:hint="eastAsia" w:ascii="方正仿宋_GBK" w:hAnsi="方正仿宋_GBK" w:eastAsia="方正仿宋_GBK" w:cs="方正仿宋_GBK"/>
          <w:spacing w:val="-40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0"/>
          <w:szCs w:val="30"/>
        </w:rPr>
        <w:t>二</w:t>
      </w:r>
      <w:r>
        <w:rPr>
          <w:rFonts w:hint="eastAsia" w:ascii="方正仿宋_GBK" w:hAnsi="方正仿宋_GBK" w:eastAsia="方正仿宋_GBK" w:cs="方正仿宋_GBK"/>
          <w:spacing w:val="-7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0"/>
          <w:szCs w:val="30"/>
        </w:rPr>
        <w:t>）社会保障和就业支出（类）行政事业单位养老支出（款）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5"/>
          <w:sz w:val="30"/>
          <w:szCs w:val="30"/>
        </w:rPr>
        <w:t>机关事业单位职业年金缴费支出（项</w:t>
      </w:r>
      <w:r>
        <w:rPr>
          <w:rFonts w:hint="eastAsia" w:ascii="方正仿宋_GBK" w:hAnsi="方正仿宋_GBK" w:eastAsia="方正仿宋_GBK" w:cs="方正仿宋_GBK"/>
          <w:spacing w:val="7"/>
          <w:sz w:val="30"/>
          <w:szCs w:val="30"/>
        </w:rPr>
        <w:t>）：</w:t>
      </w:r>
      <w:r>
        <w:rPr>
          <w:rFonts w:hint="eastAsia" w:ascii="方正仿宋_GBK" w:hAnsi="方正仿宋_GBK" w:eastAsia="方正仿宋_GBK" w:cs="方正仿宋_GBK"/>
          <w:spacing w:val="15"/>
          <w:sz w:val="30"/>
          <w:szCs w:val="30"/>
        </w:rPr>
        <w:t>指机关事业单位实施养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16"/>
          <w:sz w:val="30"/>
          <w:szCs w:val="30"/>
        </w:rPr>
        <w:t>老保险制度由单位实际缴纳的职业年金支出。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spacing w:val="1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7"/>
          <w:sz w:val="30"/>
          <w:szCs w:val="30"/>
        </w:rPr>
        <w:t>（ 三</w:t>
      </w:r>
      <w:r>
        <w:rPr>
          <w:rFonts w:hint="eastAsia" w:ascii="方正仿宋_GBK" w:hAnsi="方正仿宋_GBK" w:eastAsia="方正仿宋_GBK" w:cs="方正仿宋_GBK"/>
          <w:spacing w:val="-6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7"/>
          <w:sz w:val="30"/>
          <w:szCs w:val="30"/>
        </w:rPr>
        <w:t>）卫生健康支出（类）行政事业单位医疗（款）行政单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4"/>
          <w:sz w:val="30"/>
          <w:szCs w:val="30"/>
        </w:rPr>
        <w:t>位医疗（项</w:t>
      </w:r>
      <w:r>
        <w:rPr>
          <w:rFonts w:hint="eastAsia" w:ascii="方正仿宋_GBK" w:hAnsi="方正仿宋_GBK" w:eastAsia="方正仿宋_GBK" w:cs="方正仿宋_GBK"/>
          <w:spacing w:val="-21"/>
          <w:sz w:val="30"/>
          <w:szCs w:val="30"/>
        </w:rPr>
        <w:t>）：</w:t>
      </w:r>
      <w:r>
        <w:rPr>
          <w:rFonts w:hint="eastAsia" w:ascii="方正仿宋_GBK" w:hAnsi="方正仿宋_GBK" w:eastAsia="方正仿宋_GBK" w:cs="方正仿宋_GBK"/>
          <w:spacing w:val="-56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4"/>
          <w:sz w:val="30"/>
          <w:szCs w:val="30"/>
        </w:rPr>
        <w:t>指中央财政安排的行政单位（包括参照公务员法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4"/>
          <w:sz w:val="30"/>
          <w:szCs w:val="30"/>
        </w:rPr>
        <w:t>管理事业单位）基本医疗保险缴费经费。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32" w:firstLineChars="200"/>
        <w:jc w:val="both"/>
        <w:textAlignment w:val="baseline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8"/>
          <w:sz w:val="30"/>
          <w:szCs w:val="30"/>
        </w:rPr>
        <w:t>（ 四</w:t>
      </w:r>
      <w:r>
        <w:rPr>
          <w:rFonts w:hint="eastAsia" w:ascii="方正仿宋_GBK" w:hAnsi="方正仿宋_GBK" w:eastAsia="方正仿宋_GBK" w:cs="方正仿宋_GBK"/>
          <w:spacing w:val="-7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0"/>
          <w:szCs w:val="30"/>
        </w:rPr>
        <w:t>）卫生健康支出（类）行政事业单位医疗（款）其他行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6"/>
          <w:sz w:val="30"/>
          <w:szCs w:val="30"/>
        </w:rPr>
        <w:t>政事业单位医疗支出（项</w:t>
      </w:r>
      <w:r>
        <w:rPr>
          <w:rFonts w:hint="eastAsia" w:ascii="方正仿宋_GBK" w:hAnsi="方正仿宋_GBK" w:eastAsia="方正仿宋_GBK" w:cs="方正仿宋_GBK"/>
          <w:spacing w:val="-9"/>
          <w:sz w:val="30"/>
          <w:szCs w:val="30"/>
        </w:rPr>
        <w:t>）：</w:t>
      </w:r>
      <w:r>
        <w:rPr>
          <w:rFonts w:hint="eastAsia" w:ascii="方正仿宋_GBK" w:hAnsi="方正仿宋_GBK" w:eastAsia="方正仿宋_GBK" w:cs="方正仿宋_GBK"/>
          <w:spacing w:val="16"/>
          <w:sz w:val="30"/>
          <w:szCs w:val="30"/>
        </w:rPr>
        <w:t>中央财政安排的行政单位（包括参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4"/>
          <w:sz w:val="30"/>
          <w:szCs w:val="30"/>
        </w:rPr>
        <w:t>照公务员法管理事业单位）其他医疗费用。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0" w:firstLineChars="200"/>
        <w:jc w:val="both"/>
        <w:textAlignment w:val="baseline"/>
        <w:outlineLvl w:val="9"/>
        <w:rPr>
          <w:rFonts w:hint="eastAsia" w:ascii="方正仿宋_GBK" w:hAnsi="方正仿宋_GBK" w:eastAsia="方正仿宋_GBK" w:cs="方正仿宋_GBK"/>
          <w:spacing w:val="12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pacing w:val="15"/>
          <w:sz w:val="30"/>
          <w:szCs w:val="30"/>
        </w:rPr>
        <w:t>住房保障支出（</w:t>
      </w:r>
      <w:r>
        <w:rPr>
          <w:rFonts w:hint="eastAsia" w:ascii="Times New Roman" w:hAnsi="Times New Roman" w:eastAsia="方正仿宋_GBK" w:cs="方正仿宋_GBK"/>
          <w:spacing w:val="-62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5"/>
          <w:sz w:val="30"/>
          <w:szCs w:val="30"/>
        </w:rPr>
        <w:t>类）住房改革支出（</w:t>
      </w:r>
      <w:r>
        <w:rPr>
          <w:rFonts w:hint="eastAsia" w:ascii="Times New Roman" w:hAnsi="Times New Roman" w:eastAsia="方正仿宋_GBK" w:cs="方正仿宋_GBK"/>
          <w:spacing w:val="-77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5"/>
          <w:sz w:val="30"/>
          <w:szCs w:val="30"/>
        </w:rPr>
        <w:t>款）住房公积金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 xml:space="preserve">  </w:t>
      </w:r>
      <w:r>
        <w:rPr>
          <w:rFonts w:hint="eastAsia" w:ascii="Times New Roman" w:hAnsi="Times New Roman" w:eastAsia="方正仿宋_GBK" w:cs="方正仿宋_GBK"/>
          <w:spacing w:val="7"/>
          <w:sz w:val="30"/>
          <w:szCs w:val="30"/>
        </w:rPr>
        <w:t>（项</w:t>
      </w:r>
      <w:r>
        <w:rPr>
          <w:rFonts w:hint="eastAsia" w:ascii="Times New Roman" w:hAnsi="Times New Roman" w:eastAsia="方正仿宋_GBK" w:cs="方正仿宋_GBK"/>
          <w:spacing w:val="-35"/>
          <w:sz w:val="30"/>
          <w:szCs w:val="30"/>
        </w:rPr>
        <w:t>）：</w:t>
      </w:r>
      <w:r>
        <w:rPr>
          <w:rFonts w:hint="eastAsia" w:ascii="Times New Roman" w:hAnsi="Times New Roman" w:eastAsia="方正仿宋_GBK" w:cs="方正仿宋_GBK"/>
          <w:spacing w:val="7"/>
          <w:sz w:val="30"/>
          <w:szCs w:val="30"/>
        </w:rPr>
        <w:t>指按照《住房公积金管理条例》</w:t>
      </w:r>
      <w:r>
        <w:rPr>
          <w:rFonts w:hint="eastAsia" w:ascii="Times New Roman" w:hAnsi="Times New Roman" w:eastAsia="方正仿宋_GBK" w:cs="方正仿宋_GBK"/>
          <w:spacing w:val="-73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0"/>
          <w:szCs w:val="30"/>
        </w:rPr>
        <w:t>的规定，</w:t>
      </w:r>
      <w:r>
        <w:rPr>
          <w:rFonts w:hint="eastAsia" w:ascii="Times New Roman" w:hAnsi="Times New Roman" w:eastAsia="方正仿宋_GBK" w:cs="方正仿宋_GBK"/>
          <w:spacing w:val="-66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7"/>
          <w:sz w:val="30"/>
          <w:szCs w:val="30"/>
        </w:rPr>
        <w:t>由单位及其在职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 xml:space="preserve">  </w:t>
      </w:r>
      <w:r>
        <w:rPr>
          <w:rFonts w:hint="eastAsia" w:ascii="Times New Roman" w:hAnsi="Times New Roman" w:eastAsia="方正仿宋_GBK" w:cs="方正仿宋_GBK"/>
          <w:spacing w:val="26"/>
          <w:sz w:val="30"/>
          <w:szCs w:val="30"/>
        </w:rPr>
        <w:t>职工缴存的长期住房储金</w:t>
      </w:r>
      <w:r>
        <w:rPr>
          <w:rFonts w:hint="eastAsia" w:ascii="Times New Roman" w:hAnsi="Times New Roman" w:eastAsia="方正仿宋_GBK" w:cs="方正仿宋_GBK"/>
          <w:spacing w:val="-38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26"/>
          <w:sz w:val="30"/>
          <w:szCs w:val="30"/>
        </w:rPr>
        <w:t>。该项政策始于20世纪90</w:t>
      </w:r>
      <w:r>
        <w:rPr>
          <w:rFonts w:hint="eastAsia" w:ascii="Times New Roman" w:hAnsi="Times New Roman" w:eastAsia="方正仿宋_GBK" w:cs="方正仿宋_GBK"/>
          <w:spacing w:val="25"/>
          <w:sz w:val="30"/>
          <w:szCs w:val="30"/>
        </w:rPr>
        <w:t>年代中期</w:t>
      </w:r>
      <w:r>
        <w:rPr>
          <w:rFonts w:hint="eastAsia" w:ascii="Times New Roman" w:hAnsi="Times New Roman" w:eastAsia="方正仿宋_GBK" w:cs="方正仿宋_GBK"/>
          <w:spacing w:val="-72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25"/>
          <w:sz w:val="30"/>
          <w:szCs w:val="30"/>
        </w:rPr>
        <w:t>，</w:t>
      </w:r>
      <w:r>
        <w:rPr>
          <w:rFonts w:hint="eastAsia" w:ascii="Times New Roman" w:hAnsi="Times New Roman" w:eastAsia="方正仿宋_GBK" w:cs="方正仿宋_GBK"/>
          <w:spacing w:val="14"/>
          <w:sz w:val="30"/>
          <w:szCs w:val="30"/>
        </w:rPr>
        <w:t>在全国机关</w:t>
      </w:r>
      <w:r>
        <w:rPr>
          <w:rFonts w:hint="eastAsia" w:ascii="Times New Roman" w:hAnsi="Times New Roman" w:eastAsia="方正仿宋_GBK" w:cs="方正仿宋_GBK"/>
          <w:spacing w:val="-32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4"/>
          <w:sz w:val="30"/>
          <w:szCs w:val="30"/>
        </w:rPr>
        <w:t>、企事业单位在职职工</w:t>
      </w:r>
      <w:r>
        <w:rPr>
          <w:rFonts w:hint="eastAsia" w:ascii="Times New Roman" w:hAnsi="Times New Roman" w:eastAsia="方正仿宋_GBK" w:cs="方正仿宋_GBK"/>
          <w:spacing w:val="-66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4"/>
          <w:sz w:val="30"/>
          <w:szCs w:val="30"/>
        </w:rPr>
        <w:t>中普遍实施，缴存比例最低不</w:t>
      </w:r>
      <w:r>
        <w:rPr>
          <w:rFonts w:hint="eastAsia" w:ascii="Times New Roman" w:hAnsi="Times New Roman" w:eastAsia="方正仿宋_GBK" w:cs="方正仿宋_GBK"/>
          <w:spacing w:val="9"/>
          <w:sz w:val="30"/>
          <w:szCs w:val="30"/>
        </w:rPr>
        <w:t>低于5%，最高不超过12%，缴存基数为职工本人上年工资。行政</w:t>
      </w:r>
      <w:r>
        <w:rPr>
          <w:rFonts w:hint="eastAsia" w:ascii="Times New Roman" w:hAnsi="Times New Roman" w:eastAsia="方正仿宋_GBK" w:cs="方正仿宋_GBK"/>
          <w:spacing w:val="21"/>
          <w:sz w:val="30"/>
          <w:szCs w:val="30"/>
        </w:rPr>
        <w:t>单位缴存基数包括国家统一规定的公务员职务工资、级别</w:t>
      </w:r>
      <w:r>
        <w:rPr>
          <w:rFonts w:hint="eastAsia" w:ascii="Times New Roman" w:hAnsi="Times New Roman" w:eastAsia="方正仿宋_GBK" w:cs="方正仿宋_GBK"/>
          <w:spacing w:val="20"/>
          <w:sz w:val="30"/>
          <w:szCs w:val="30"/>
        </w:rPr>
        <w:t>工资</w:t>
      </w:r>
      <w:r>
        <w:rPr>
          <w:rFonts w:hint="eastAsia" w:ascii="Times New Roman" w:hAnsi="Times New Roman" w:eastAsia="方正仿宋_GBK" w:cs="方正仿宋_GBK"/>
          <w:spacing w:val="20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pacing w:val="16"/>
          <w:sz w:val="30"/>
          <w:szCs w:val="30"/>
        </w:rPr>
        <w:t>机关工人岗位工资和技术等级（职务）工资</w:t>
      </w:r>
      <w:r>
        <w:rPr>
          <w:rFonts w:hint="eastAsia" w:ascii="Times New Roman" w:hAnsi="Times New Roman" w:eastAsia="方正仿宋_GBK" w:cs="方正仿宋_GBK"/>
          <w:spacing w:val="-62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6"/>
          <w:sz w:val="30"/>
          <w:szCs w:val="30"/>
        </w:rPr>
        <w:t>、年终一次性奖金、</w:t>
      </w:r>
      <w:r>
        <w:rPr>
          <w:rFonts w:hint="eastAsia" w:ascii="Times New Roman" w:hAnsi="Times New Roman" w:eastAsia="方正仿宋_GBK" w:cs="方正仿宋_GBK"/>
          <w:spacing w:val="21"/>
          <w:sz w:val="30"/>
          <w:szCs w:val="30"/>
        </w:rPr>
        <w:t>特殊岗位津贴、艰苦边远地区津贴，规范后发</w:t>
      </w:r>
      <w:r>
        <w:rPr>
          <w:rFonts w:hint="eastAsia" w:ascii="Times New Roman" w:hAnsi="Times New Roman" w:eastAsia="方正仿宋_GBK" w:cs="方正仿宋_GBK"/>
          <w:spacing w:val="20"/>
          <w:sz w:val="30"/>
          <w:szCs w:val="30"/>
        </w:rPr>
        <w:t>放的工作性津贴、</w:t>
      </w:r>
      <w:r>
        <w:rPr>
          <w:rFonts w:hint="eastAsia" w:ascii="Times New Roman" w:hAnsi="Times New Roman" w:eastAsia="方正仿宋_GBK" w:cs="方正仿宋_GBK"/>
          <w:spacing w:val="14"/>
          <w:sz w:val="30"/>
          <w:szCs w:val="30"/>
        </w:rPr>
        <w:t>生活性补贴等；事业单位缴存基数包括国家统一规定的岗位工资、</w:t>
      </w:r>
      <w:r>
        <w:rPr>
          <w:rFonts w:hint="eastAsia" w:ascii="Times New Roman" w:hAnsi="Times New Roman" w:eastAsia="方正仿宋_GBK" w:cs="方正仿宋_GBK"/>
          <w:spacing w:val="12"/>
          <w:sz w:val="30"/>
          <w:szCs w:val="30"/>
        </w:rPr>
        <w:t>薪级工资、绩效工资、艰苦边远地区津贴、特殊岗位津贴等。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572" w:firstLineChars="200"/>
        <w:textAlignment w:val="baseline"/>
        <w:outlineLvl w:val="9"/>
        <w:rPr>
          <w:rFonts w:hint="eastAsia" w:ascii="Times New Roman" w:hAnsi="Times New Roman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pacing w:val="-7"/>
          <w:sz w:val="30"/>
          <w:szCs w:val="30"/>
        </w:rPr>
        <w:t>（</w:t>
      </w:r>
      <w:r>
        <w:rPr>
          <w:rFonts w:hint="eastAsia" w:ascii="Times New Roman" w:hAnsi="Times New Roman" w:eastAsia="方正仿宋_GBK" w:cs="方正仿宋_GBK"/>
          <w:spacing w:val="-41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-7"/>
          <w:sz w:val="30"/>
          <w:szCs w:val="30"/>
        </w:rPr>
        <w:t>六）住房保障支出（类）住房改革支出（款）购房补贴（项</w:t>
      </w:r>
      <w:r>
        <w:rPr>
          <w:rFonts w:hint="eastAsia" w:ascii="Times New Roman" w:hAnsi="Times New Roman" w:eastAsia="方正仿宋_GBK" w:cs="方正仿宋_GBK"/>
          <w:spacing w:val="-70"/>
          <w:sz w:val="30"/>
          <w:szCs w:val="30"/>
        </w:rPr>
        <w:t>）：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9"/>
          <w:sz w:val="30"/>
          <w:szCs w:val="30"/>
        </w:rPr>
        <w:t>指根据《国务院关于进一步深化城镇住房制度改革加快住房建设</w:t>
      </w:r>
      <w:r>
        <w:rPr>
          <w:rFonts w:hint="eastAsia" w:ascii="Times New Roman" w:hAnsi="Times New Roman" w:eastAsia="方正仿宋_GBK" w:cs="方正仿宋_GBK"/>
          <w:spacing w:val="2"/>
          <w:sz w:val="30"/>
          <w:szCs w:val="30"/>
        </w:rPr>
        <w:t xml:space="preserve"> 的通知》（</w:t>
      </w:r>
      <w:r>
        <w:rPr>
          <w:rFonts w:hint="eastAsia" w:ascii="Times New Roman" w:hAnsi="Times New Roman" w:eastAsia="方正仿宋_GBK" w:cs="方正仿宋_GBK"/>
          <w:spacing w:val="-49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0"/>
          <w:szCs w:val="30"/>
        </w:rPr>
        <w:t>国发〔 1998 〕23</w:t>
      </w:r>
      <w:r>
        <w:rPr>
          <w:rFonts w:hint="eastAsia" w:ascii="Times New Roman" w:hAnsi="Times New Roman" w:eastAsia="方正仿宋_GBK" w:cs="方正仿宋_GBK"/>
          <w:spacing w:val="54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 w:val="30"/>
          <w:szCs w:val="30"/>
        </w:rPr>
        <w:t>号）的规定，从1998年下半年停止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7"/>
          <w:sz w:val="30"/>
          <w:szCs w:val="30"/>
        </w:rPr>
        <w:t>实物分房后，房价收入比超过</w:t>
      </w:r>
      <w:r>
        <w:rPr>
          <w:rFonts w:hint="eastAsia" w:ascii="Times New Roman" w:hAnsi="Times New Roman" w:eastAsia="方正仿宋_GBK" w:cs="方正仿宋_GBK"/>
          <w:spacing w:val="-30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7"/>
          <w:sz w:val="30"/>
          <w:szCs w:val="30"/>
        </w:rPr>
        <w:t>4</w:t>
      </w:r>
      <w:r>
        <w:rPr>
          <w:rFonts w:hint="eastAsia" w:ascii="Times New Roman" w:hAnsi="Times New Roman" w:eastAsia="方正仿宋_GBK" w:cs="方正仿宋_GBK"/>
          <w:spacing w:val="29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7"/>
          <w:sz w:val="30"/>
          <w:szCs w:val="30"/>
        </w:rPr>
        <w:t>倍以上地区对无房和住房未达标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5"/>
          <w:sz w:val="30"/>
          <w:szCs w:val="30"/>
        </w:rPr>
        <w:t>职工发放的住房货币化改革补贴资金。中央行政事业单位从2000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6"/>
          <w:sz w:val="30"/>
          <w:szCs w:val="30"/>
        </w:rPr>
        <w:t>年开始发放购房补贴资金</w:t>
      </w:r>
      <w:r>
        <w:rPr>
          <w:rFonts w:hint="eastAsia" w:ascii="Times New Roman" w:hAnsi="Times New Roman" w:eastAsia="方正仿宋_GBK" w:cs="方正仿宋_GBK"/>
          <w:spacing w:val="-51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6"/>
          <w:sz w:val="30"/>
          <w:szCs w:val="30"/>
        </w:rPr>
        <w:t>，地方行政事业单位从 1999</w:t>
      </w:r>
      <w:r>
        <w:rPr>
          <w:rFonts w:hint="eastAsia" w:ascii="Times New Roman" w:hAnsi="Times New Roman" w:eastAsia="方正仿宋_GBK" w:cs="方正仿宋_GBK"/>
          <w:spacing w:val="58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6"/>
          <w:sz w:val="30"/>
          <w:szCs w:val="30"/>
        </w:rPr>
        <w:t>年陆续开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4"/>
          <w:sz w:val="30"/>
          <w:szCs w:val="30"/>
        </w:rPr>
        <w:t>始发放购房补贴资金，企业根据本单位情况自行确定。在京中央</w:t>
      </w:r>
      <w:r>
        <w:rPr>
          <w:rFonts w:hint="eastAsia" w:ascii="Times New Roman" w:hAnsi="Times New Roman" w:eastAsia="方正仿宋_GBK" w:cs="方正仿宋_GBK"/>
          <w:spacing w:val="7"/>
          <w:sz w:val="30"/>
          <w:szCs w:val="30"/>
        </w:rPr>
        <w:t>单位按照《中共中央办公厅国务院办公厅转发建设部等单位</w:t>
      </w:r>
      <w:r>
        <w:rPr>
          <w:rFonts w:hint="eastAsia" w:ascii="Times New Roman" w:hAnsi="Times New Roman" w:eastAsia="方正仿宋_GBK" w:cs="方正仿宋_GBK"/>
          <w:spacing w:val="6"/>
          <w:sz w:val="30"/>
          <w:szCs w:val="30"/>
        </w:rPr>
        <w:t>〈关</w:t>
      </w:r>
      <w:r>
        <w:rPr>
          <w:rFonts w:hint="eastAsia" w:ascii="Times New Roman" w:hAnsi="Times New Roman" w:eastAsia="方正仿宋_GBK" w:cs="方正仿宋_GBK"/>
          <w:spacing w:val="11"/>
          <w:sz w:val="30"/>
          <w:szCs w:val="30"/>
        </w:rPr>
        <w:t>于完善在京中央和国家机关住房制度的若干意见〉</w:t>
      </w:r>
      <w:r>
        <w:rPr>
          <w:rFonts w:hint="eastAsia" w:ascii="Times New Roman" w:hAnsi="Times New Roman" w:eastAsia="方正仿宋_GBK" w:cs="方正仿宋_GBK"/>
          <w:spacing w:val="-57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1"/>
          <w:sz w:val="30"/>
          <w:szCs w:val="30"/>
        </w:rPr>
        <w:t>的通知》规定</w:t>
      </w:r>
      <w:r>
        <w:rPr>
          <w:rFonts w:hint="eastAsia" w:ascii="Times New Roman" w:hAnsi="Times New Roman" w:eastAsia="方正仿宋_GBK" w:cs="方正仿宋_GBK"/>
          <w:spacing w:val="13"/>
          <w:sz w:val="30"/>
          <w:szCs w:val="30"/>
        </w:rPr>
        <w:t>的标准执行，京外中央单位按照所在地人民政府住房分配货币化</w:t>
      </w:r>
      <w:r>
        <w:rPr>
          <w:rFonts w:hint="eastAsia" w:ascii="Times New Roman" w:hAnsi="Times New Roman" w:eastAsia="方正仿宋_GBK" w:cs="方正仿宋_GBK"/>
          <w:spacing w:val="10"/>
          <w:sz w:val="30"/>
          <w:szCs w:val="30"/>
        </w:rPr>
        <w:t>改革的政策规定和标准执行。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572" w:firstLineChars="200"/>
        <w:jc w:val="both"/>
        <w:textAlignment w:val="baseline"/>
        <w:outlineLvl w:val="9"/>
        <w:rPr>
          <w:rFonts w:hint="eastAsia" w:ascii="Times New Roman" w:hAnsi="Times New Roman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pacing w:val="-7"/>
          <w:sz w:val="30"/>
          <w:szCs w:val="30"/>
        </w:rPr>
        <w:t>（七）住房保障支出（类）住房改革支出（款）提租补</w:t>
      </w:r>
      <w:r>
        <w:rPr>
          <w:rFonts w:hint="eastAsia" w:ascii="Times New Roman" w:hAnsi="Times New Roman" w:eastAsia="方正仿宋_GBK" w:cs="方正仿宋_GBK"/>
          <w:spacing w:val="-8"/>
          <w:sz w:val="30"/>
          <w:szCs w:val="30"/>
        </w:rPr>
        <w:t>贴（项</w:t>
      </w:r>
      <w:r>
        <w:rPr>
          <w:rFonts w:hint="eastAsia" w:ascii="Times New Roman" w:hAnsi="Times New Roman" w:eastAsia="方正仿宋_GBK" w:cs="方正仿宋_GBK"/>
          <w:spacing w:val="-81"/>
          <w:sz w:val="30"/>
          <w:szCs w:val="30"/>
        </w:rPr>
        <w:t>）：</w:t>
      </w:r>
      <w:r>
        <w:rPr>
          <w:rFonts w:hint="eastAsia" w:ascii="Times New Roman" w:hAnsi="Times New Roman" w:eastAsia="方正仿宋_GBK" w:cs="方正仿宋_GBK"/>
          <w:spacing w:val="1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3"/>
          <w:sz w:val="30"/>
          <w:szCs w:val="30"/>
        </w:rPr>
        <w:t>指经国务院批准，于</w:t>
      </w:r>
      <w:r>
        <w:rPr>
          <w:rFonts w:hint="eastAsia" w:ascii="Times New Roman" w:hAnsi="Times New Roman" w:eastAsia="方正仿宋_GBK" w:cs="方正仿宋_GBK"/>
          <w:spacing w:val="-39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3"/>
          <w:sz w:val="30"/>
          <w:szCs w:val="30"/>
        </w:rPr>
        <w:t>2000年开始针对在京中央单位</w:t>
      </w:r>
      <w:r>
        <w:rPr>
          <w:rFonts w:hint="eastAsia" w:ascii="Times New Roman" w:hAnsi="Times New Roman" w:eastAsia="方正仿宋_GBK" w:cs="方正仿宋_GBK"/>
          <w:spacing w:val="12"/>
          <w:sz w:val="30"/>
          <w:szCs w:val="30"/>
        </w:rPr>
        <w:t>公有住房租</w:t>
      </w:r>
      <w:r>
        <w:rPr>
          <w:rFonts w:hint="eastAsia" w:ascii="Times New Roman" w:hAnsi="Times New Roman" w:eastAsia="方正仿宋_GBK" w:cs="方正仿宋_GBK"/>
          <w:spacing w:val="11"/>
          <w:sz w:val="30"/>
          <w:szCs w:val="30"/>
        </w:rPr>
        <w:t>金标准提高发放的补贴，中央在京单位按照在编职工人数和离退</w:t>
      </w:r>
      <w:r>
        <w:rPr>
          <w:rFonts w:hint="eastAsia" w:ascii="Times New Roman" w:hAnsi="Times New Roman" w:eastAsia="方正仿宋_GBK" w:cs="方正仿宋_GBK"/>
          <w:spacing w:val="10"/>
          <w:sz w:val="30"/>
          <w:szCs w:val="30"/>
        </w:rPr>
        <w:t>休人数以及相应职级的补贴标准确定，人均月补贴</w:t>
      </w:r>
      <w:r>
        <w:rPr>
          <w:rFonts w:hint="eastAsia" w:ascii="Times New Roman" w:hAnsi="Times New Roman" w:eastAsia="方正仿宋_GBK" w:cs="方正仿宋_GBK"/>
          <w:spacing w:val="-23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0"/>
          <w:szCs w:val="30"/>
        </w:rPr>
        <w:t>90元。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36" w:firstLineChars="200"/>
        <w:jc w:val="both"/>
        <w:textAlignment w:val="baseline"/>
        <w:outlineLvl w:val="9"/>
        <w:rPr>
          <w:rFonts w:hint="eastAsia" w:ascii="Times New Roman" w:hAnsi="Times New Roman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pacing w:val="9"/>
          <w:sz w:val="30"/>
          <w:szCs w:val="30"/>
        </w:rPr>
        <w:t>（</w:t>
      </w:r>
      <w:r>
        <w:rPr>
          <w:rFonts w:hint="eastAsia" w:ascii="Times New Roman" w:hAnsi="Times New Roman" w:eastAsia="方正仿宋_GBK" w:cs="方正仿宋_GBK"/>
          <w:spacing w:val="-33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9"/>
          <w:sz w:val="30"/>
          <w:szCs w:val="30"/>
        </w:rPr>
        <w:t>八</w:t>
      </w:r>
      <w:r>
        <w:rPr>
          <w:rFonts w:hint="eastAsia" w:ascii="Times New Roman" w:hAnsi="Times New Roman" w:eastAsia="方正仿宋_GBK" w:cs="方正仿宋_GBK"/>
          <w:spacing w:val="-77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9"/>
          <w:sz w:val="30"/>
          <w:szCs w:val="30"/>
        </w:rPr>
        <w:t>）粮油物资储备支出（类）重要商品储备（款）应急物</w:t>
      </w:r>
      <w:r>
        <w:rPr>
          <w:rFonts w:hint="eastAsia" w:ascii="Times New Roman" w:hAnsi="Times New Roman" w:eastAsia="方正仿宋_GBK" w:cs="方正仿宋_GBK"/>
          <w:spacing w:val="13"/>
          <w:sz w:val="30"/>
          <w:szCs w:val="30"/>
        </w:rPr>
        <w:t>资储备（项</w:t>
      </w:r>
      <w:r>
        <w:rPr>
          <w:rFonts w:hint="eastAsia" w:ascii="Times New Roman" w:hAnsi="Times New Roman" w:eastAsia="方正仿宋_GBK" w:cs="方正仿宋_GBK"/>
          <w:spacing w:val="-35"/>
          <w:sz w:val="30"/>
          <w:szCs w:val="30"/>
        </w:rPr>
        <w:t>）：</w:t>
      </w:r>
      <w:r>
        <w:rPr>
          <w:rFonts w:hint="eastAsia" w:ascii="Times New Roman" w:hAnsi="Times New Roman" w:eastAsia="方正仿宋_GBK" w:cs="方正仿宋_GBK"/>
          <w:spacing w:val="13"/>
          <w:sz w:val="30"/>
          <w:szCs w:val="30"/>
        </w:rPr>
        <w:t>指中央财政安排的，用于购置储备应急救援物资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0"/>
          <w:sz w:val="30"/>
          <w:szCs w:val="30"/>
        </w:rPr>
        <w:t>装备的专项经费。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4" w:firstLineChars="200"/>
        <w:jc w:val="both"/>
        <w:textAlignment w:val="baseline"/>
        <w:outlineLvl w:val="9"/>
        <w:rPr>
          <w:rFonts w:hint="eastAsia" w:ascii="Times New Roman" w:hAnsi="Times New Roman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pacing w:val="11"/>
          <w:sz w:val="30"/>
          <w:szCs w:val="30"/>
        </w:rPr>
        <w:t>（</w:t>
      </w:r>
      <w:r>
        <w:rPr>
          <w:rFonts w:hint="eastAsia" w:ascii="Times New Roman" w:hAnsi="Times New Roman" w:eastAsia="方正仿宋_GBK" w:cs="方正仿宋_GBK"/>
          <w:spacing w:val="-33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1"/>
          <w:sz w:val="30"/>
          <w:szCs w:val="30"/>
        </w:rPr>
        <w:t>九</w:t>
      </w:r>
      <w:r>
        <w:rPr>
          <w:rFonts w:hint="eastAsia" w:ascii="Times New Roman" w:hAnsi="Times New Roman" w:eastAsia="方正仿宋_GBK" w:cs="方正仿宋_GBK"/>
          <w:spacing w:val="-72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1"/>
          <w:sz w:val="30"/>
          <w:szCs w:val="30"/>
        </w:rPr>
        <w:t>）灾害防治及应急管理支出（</w:t>
      </w:r>
      <w:r>
        <w:rPr>
          <w:rFonts w:hint="eastAsia" w:ascii="Times New Roman" w:hAnsi="Times New Roman" w:eastAsia="方正仿宋_GBK" w:cs="方正仿宋_GBK"/>
          <w:spacing w:val="-79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1"/>
          <w:sz w:val="30"/>
          <w:szCs w:val="30"/>
        </w:rPr>
        <w:t>类）消防事务（款）行</w:t>
      </w:r>
      <w:r>
        <w:rPr>
          <w:rFonts w:hint="eastAsia" w:ascii="Times New Roman" w:hAnsi="Times New Roman" w:eastAsia="方正仿宋_GBK" w:cs="方正仿宋_GBK"/>
          <w:spacing w:val="15"/>
          <w:sz w:val="30"/>
          <w:szCs w:val="30"/>
        </w:rPr>
        <w:t>政运行（项</w:t>
      </w:r>
      <w:r>
        <w:rPr>
          <w:rFonts w:hint="eastAsia" w:ascii="Times New Roman" w:hAnsi="Times New Roman" w:eastAsia="方正仿宋_GBK" w:cs="方正仿宋_GBK"/>
          <w:spacing w:val="-43"/>
          <w:sz w:val="30"/>
          <w:szCs w:val="30"/>
        </w:rPr>
        <w:t>）：</w:t>
      </w:r>
      <w:r>
        <w:rPr>
          <w:rFonts w:hint="eastAsia" w:ascii="Times New Roman" w:hAnsi="Times New Roman" w:eastAsia="方正仿宋_GBK" w:cs="方正仿宋_GBK"/>
          <w:spacing w:val="15"/>
          <w:sz w:val="30"/>
          <w:szCs w:val="30"/>
        </w:rPr>
        <w:t>指国家消防救援局及所属消防救援队伍用于保障</w:t>
      </w:r>
      <w:r>
        <w:rPr>
          <w:rFonts w:hint="eastAsia" w:ascii="Times New Roman" w:hAnsi="Times New Roman" w:eastAsia="方正仿宋_GBK" w:cs="方正仿宋_GBK"/>
          <w:spacing w:val="1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9"/>
          <w:sz w:val="30"/>
          <w:szCs w:val="30"/>
        </w:rPr>
        <w:t>机构正常运行、开展</w:t>
      </w:r>
      <w:r>
        <w:rPr>
          <w:rFonts w:hint="eastAsia" w:ascii="Times New Roman" w:hAnsi="Times New Roman" w:eastAsia="方正仿宋_GBK" w:cs="方正仿宋_GBK"/>
          <w:spacing w:val="-38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9"/>
          <w:sz w:val="30"/>
          <w:szCs w:val="30"/>
        </w:rPr>
        <w:t>日常工作的基本支出。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4" w:firstLineChars="200"/>
        <w:jc w:val="both"/>
        <w:textAlignment w:val="baseline"/>
        <w:outlineLvl w:val="9"/>
        <w:rPr>
          <w:rFonts w:hint="eastAsia" w:ascii="Times New Roman" w:hAnsi="Times New Roman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11"/>
          <w:sz w:val="30"/>
          <w:szCs w:val="30"/>
        </w:rPr>
        <w:t>（</w:t>
      </w:r>
      <w:r>
        <w:rPr>
          <w:rFonts w:hint="eastAsia" w:ascii="Times New Roman" w:hAnsi="Times New Roman" w:eastAsia="方正仿宋_GBK" w:cs="方正仿宋_GBK"/>
          <w:spacing w:val="-33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1"/>
          <w:sz w:val="30"/>
          <w:szCs w:val="30"/>
        </w:rPr>
        <w:t>十</w:t>
      </w:r>
      <w:r>
        <w:rPr>
          <w:rFonts w:hint="eastAsia" w:ascii="Times New Roman" w:hAnsi="Times New Roman" w:eastAsia="方正仿宋_GBK" w:cs="方正仿宋_GBK"/>
          <w:spacing w:val="-72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1"/>
          <w:sz w:val="30"/>
          <w:szCs w:val="30"/>
        </w:rPr>
        <w:t>）灾害防治及应急管理支出（</w:t>
      </w:r>
      <w:r>
        <w:rPr>
          <w:rFonts w:hint="eastAsia" w:ascii="Times New Roman" w:hAnsi="Times New Roman" w:eastAsia="方正仿宋_GBK" w:cs="方正仿宋_GBK"/>
          <w:spacing w:val="-79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1"/>
          <w:sz w:val="30"/>
          <w:szCs w:val="30"/>
        </w:rPr>
        <w:t>类）消防事务（款）消</w:t>
      </w:r>
      <w:r>
        <w:rPr>
          <w:rFonts w:hint="eastAsia" w:ascii="Times New Roman" w:hAnsi="Times New Roman" w:eastAsia="方正仿宋_GBK" w:cs="方正仿宋_GBK"/>
          <w:spacing w:val="14"/>
          <w:sz w:val="30"/>
          <w:szCs w:val="30"/>
        </w:rPr>
        <w:t>防应急救援（项</w:t>
      </w:r>
      <w:r>
        <w:rPr>
          <w:rFonts w:hint="eastAsia" w:ascii="Times New Roman" w:hAnsi="Times New Roman" w:eastAsia="方正仿宋_GBK" w:cs="方正仿宋_GBK"/>
          <w:spacing w:val="-37"/>
          <w:sz w:val="30"/>
          <w:szCs w:val="30"/>
        </w:rPr>
        <w:t>）：</w:t>
      </w:r>
      <w:r>
        <w:rPr>
          <w:rFonts w:hint="eastAsia" w:ascii="Times New Roman" w:hAnsi="Times New Roman" w:eastAsia="方正仿宋_GBK" w:cs="方正仿宋_GBK"/>
          <w:spacing w:val="14"/>
          <w:sz w:val="30"/>
          <w:szCs w:val="30"/>
        </w:rPr>
        <w:t>指国家消防救援局开展消防应急救援方面</w:t>
      </w:r>
      <w:r>
        <w:rPr>
          <w:rFonts w:hint="eastAsia" w:ascii="Times New Roman" w:hAnsi="Times New Roman" w:eastAsia="方正仿宋_GBK" w:cs="方正仿宋_GBK"/>
          <w:spacing w:val="14"/>
          <w:sz w:val="30"/>
          <w:szCs w:val="30"/>
          <w:lang w:val="en-US" w:eastAsia="zh-CN"/>
        </w:rPr>
        <w:t>的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支出</w:t>
      </w:r>
      <w:r>
        <w:rPr>
          <w:rFonts w:hint="eastAsia" w:ascii="Times New Roman" w:hAnsi="Times New Roman" w:eastAsia="方正仿宋_GBK" w:cs="方正仿宋_GBK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574" w:firstLineChars="179"/>
        <w:jc w:val="both"/>
        <w:textAlignment w:val="baseline"/>
        <w:outlineLvl w:val="9"/>
        <w:rPr>
          <w:rFonts w:hint="eastAsia" w:ascii="Times New Roman" w:hAnsi="Times New Roman" w:eastAsia="方正仿宋_GBK" w:cs="方正仿宋_GBK"/>
          <w:w w:val="99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pacing w:val="12"/>
          <w:w w:val="99"/>
          <w:sz w:val="30"/>
          <w:szCs w:val="30"/>
        </w:rPr>
        <w:t>（</w:t>
      </w:r>
      <w:r>
        <w:rPr>
          <w:rFonts w:hint="eastAsia" w:ascii="Times New Roman" w:hAnsi="Times New Roman" w:eastAsia="方正仿宋_GBK" w:cs="方正仿宋_GBK"/>
          <w:spacing w:val="-24"/>
          <w:w w:val="99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2"/>
          <w:w w:val="99"/>
          <w:sz w:val="30"/>
          <w:szCs w:val="30"/>
        </w:rPr>
        <w:t>十一</w:t>
      </w:r>
      <w:r>
        <w:rPr>
          <w:rFonts w:hint="eastAsia" w:ascii="Times New Roman" w:hAnsi="Times New Roman" w:eastAsia="方正仿宋_GBK" w:cs="方正仿宋_GBK"/>
          <w:spacing w:val="-33"/>
          <w:w w:val="99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2"/>
          <w:w w:val="99"/>
          <w:sz w:val="30"/>
          <w:szCs w:val="30"/>
        </w:rPr>
        <w:t>）灾害防治及应急管理支出（</w:t>
      </w:r>
      <w:r>
        <w:rPr>
          <w:rFonts w:hint="eastAsia" w:ascii="Times New Roman" w:hAnsi="Times New Roman" w:eastAsia="方正仿宋_GBK" w:cs="方正仿宋_GBK"/>
          <w:spacing w:val="-79"/>
          <w:w w:val="99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2"/>
          <w:w w:val="99"/>
          <w:sz w:val="30"/>
          <w:szCs w:val="30"/>
        </w:rPr>
        <w:t>类）消防事务（款）</w:t>
      </w:r>
      <w:r>
        <w:rPr>
          <w:rFonts w:hint="eastAsia" w:ascii="Times New Roman" w:hAnsi="Times New Roman" w:eastAsia="方正仿宋_GBK" w:cs="方正仿宋_GBK"/>
          <w:spacing w:val="11"/>
          <w:w w:val="99"/>
          <w:sz w:val="30"/>
          <w:szCs w:val="30"/>
        </w:rPr>
        <w:t>其他消防事务支出（项</w:t>
      </w:r>
      <w:r>
        <w:rPr>
          <w:rFonts w:hint="eastAsia" w:ascii="Times New Roman" w:hAnsi="Times New Roman" w:eastAsia="方正仿宋_GBK" w:cs="方正仿宋_GBK"/>
          <w:spacing w:val="33"/>
          <w:w w:val="99"/>
          <w:sz w:val="30"/>
          <w:szCs w:val="30"/>
        </w:rPr>
        <w:t>）</w:t>
      </w:r>
      <w:r>
        <w:rPr>
          <w:rFonts w:hint="eastAsia" w:ascii="Times New Roman" w:hAnsi="Times New Roman" w:eastAsia="方正仿宋_GBK" w:cs="方正仿宋_GBK"/>
          <w:spacing w:val="33"/>
          <w:w w:val="99"/>
          <w:sz w:val="30"/>
          <w:szCs w:val="30"/>
          <w:lang w:val="en-US" w:eastAsia="zh-CN"/>
        </w:rPr>
        <w:t>:</w:t>
      </w:r>
      <w:r>
        <w:rPr>
          <w:rFonts w:hint="eastAsia" w:ascii="Times New Roman" w:hAnsi="Times New Roman" w:eastAsia="方正仿宋_GBK" w:cs="方正仿宋_GBK"/>
          <w:spacing w:val="11"/>
          <w:w w:val="99"/>
          <w:sz w:val="30"/>
          <w:szCs w:val="30"/>
        </w:rPr>
        <w:t>指国家消防救援局部门机动费项目</w:t>
      </w:r>
      <w:r>
        <w:rPr>
          <w:rFonts w:hint="eastAsia" w:ascii="Times New Roman" w:hAnsi="Times New Roman" w:eastAsia="方正仿宋_GBK" w:cs="方正仿宋_GBK"/>
          <w:spacing w:val="2"/>
          <w:w w:val="99"/>
          <w:sz w:val="30"/>
          <w:szCs w:val="30"/>
        </w:rPr>
        <w:t>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4" w:firstLineChars="200"/>
        <w:jc w:val="both"/>
        <w:textAlignment w:val="baseline"/>
        <w:outlineLvl w:val="9"/>
        <w:rPr>
          <w:rFonts w:hint="eastAsia" w:ascii="Times New Roman" w:hAnsi="Times New Roman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pacing w:val="11"/>
          <w:sz w:val="30"/>
          <w:szCs w:val="30"/>
        </w:rPr>
        <w:t>（ 十二</w:t>
      </w:r>
      <w:r>
        <w:rPr>
          <w:rFonts w:hint="eastAsia" w:ascii="Times New Roman" w:hAnsi="Times New Roman" w:eastAsia="方正仿宋_GBK" w:cs="方正仿宋_GBK"/>
          <w:spacing w:val="-29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1"/>
          <w:sz w:val="30"/>
          <w:szCs w:val="30"/>
        </w:rPr>
        <w:t>）结转下年：指以前年度预算安排、</w:t>
      </w:r>
      <w:r>
        <w:rPr>
          <w:rFonts w:hint="eastAsia" w:ascii="Times New Roman" w:hAnsi="Times New Roman" w:eastAsia="方正仿宋_GBK" w:cs="方正仿宋_GBK"/>
          <w:spacing w:val="-65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1"/>
          <w:sz w:val="30"/>
          <w:szCs w:val="30"/>
        </w:rPr>
        <w:t>因客观条件发</w:t>
      </w:r>
      <w:r>
        <w:rPr>
          <w:rFonts w:hint="eastAsia" w:ascii="Times New Roman" w:hAnsi="Times New Roman" w:eastAsia="方正仿宋_GBK" w:cs="方正仿宋_GBK"/>
          <w:spacing w:val="16"/>
          <w:sz w:val="30"/>
          <w:szCs w:val="30"/>
        </w:rPr>
        <w:t>生变化无法按原计划实施，需延迟到以后年度按</w:t>
      </w:r>
      <w:r>
        <w:rPr>
          <w:rFonts w:hint="eastAsia" w:ascii="Times New Roman" w:hAnsi="Times New Roman" w:eastAsia="方正仿宋_GBK" w:cs="方正仿宋_GBK"/>
          <w:spacing w:val="15"/>
          <w:sz w:val="30"/>
          <w:szCs w:val="30"/>
        </w:rPr>
        <w:t>原规定用途继</w:t>
      </w:r>
      <w:r>
        <w:rPr>
          <w:rFonts w:hint="eastAsia" w:ascii="Times New Roman" w:hAnsi="Times New Roman" w:eastAsia="方正仿宋_GBK" w:cs="方正仿宋_GBK"/>
          <w:spacing w:val="9"/>
          <w:sz w:val="30"/>
          <w:szCs w:val="30"/>
        </w:rPr>
        <w:t>续使用的资金。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32" w:firstLineChars="200"/>
        <w:textAlignment w:val="baseline"/>
        <w:outlineLvl w:val="9"/>
        <w:rPr>
          <w:rFonts w:hint="eastAsia" w:ascii="Times New Roman" w:hAnsi="Times New Roman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pacing w:val="8"/>
          <w:sz w:val="30"/>
          <w:szCs w:val="30"/>
        </w:rPr>
        <w:t>（</w:t>
      </w:r>
      <w:r>
        <w:rPr>
          <w:rFonts w:hint="eastAsia" w:ascii="Times New Roman" w:hAnsi="Times New Roman" w:eastAsia="方正仿宋_GBK" w:cs="方正仿宋_GBK"/>
          <w:spacing w:val="-17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0"/>
          <w:szCs w:val="30"/>
        </w:rPr>
        <w:t>十三</w:t>
      </w:r>
      <w:r>
        <w:rPr>
          <w:rFonts w:hint="eastAsia" w:ascii="Times New Roman" w:hAnsi="Times New Roman" w:eastAsia="方正仿宋_GBK" w:cs="方正仿宋_GBK"/>
          <w:spacing w:val="-34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0"/>
          <w:szCs w:val="30"/>
        </w:rPr>
        <w:t>）基本支出：指为保障机构正常运转 、完成</w:t>
      </w:r>
      <w:r>
        <w:rPr>
          <w:rFonts w:hint="eastAsia" w:ascii="Times New Roman" w:hAnsi="Times New Roman" w:eastAsia="方正仿宋_GBK" w:cs="方正仿宋_GBK"/>
          <w:spacing w:val="-39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0"/>
          <w:szCs w:val="30"/>
        </w:rPr>
        <w:t>日常工</w:t>
      </w:r>
      <w:r>
        <w:rPr>
          <w:rFonts w:hint="eastAsia" w:ascii="Times New Roman" w:hAnsi="Times New Roman" w:eastAsia="方正仿宋_GBK" w:cs="方正仿宋_GBK"/>
          <w:spacing w:val="14"/>
          <w:sz w:val="30"/>
          <w:szCs w:val="30"/>
        </w:rPr>
        <w:t>作任务而发生的人员支出和公用支出。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32" w:firstLineChars="200"/>
        <w:textAlignment w:val="baseline"/>
        <w:outlineLvl w:val="9"/>
        <w:rPr>
          <w:rFonts w:hint="eastAsia" w:ascii="Times New Roman" w:hAnsi="Times New Roman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pacing w:val="8"/>
          <w:sz w:val="30"/>
          <w:szCs w:val="30"/>
        </w:rPr>
        <w:t>（</w:t>
      </w:r>
      <w:r>
        <w:rPr>
          <w:rFonts w:hint="eastAsia" w:ascii="Times New Roman" w:hAnsi="Times New Roman" w:eastAsia="方正仿宋_GBK" w:cs="方正仿宋_GBK"/>
          <w:spacing w:val="-15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0"/>
          <w:szCs w:val="30"/>
        </w:rPr>
        <w:t>十</w:t>
      </w:r>
      <w:r>
        <w:rPr>
          <w:rFonts w:hint="eastAsia" w:ascii="Times New Roman" w:hAnsi="Times New Roman" w:eastAsia="方正仿宋_GBK" w:cs="方正仿宋_GBK"/>
          <w:spacing w:val="-69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0"/>
          <w:szCs w:val="30"/>
        </w:rPr>
        <w:t>四</w:t>
      </w:r>
      <w:r>
        <w:rPr>
          <w:rFonts w:hint="eastAsia" w:ascii="Times New Roman" w:hAnsi="Times New Roman" w:eastAsia="方正仿宋_GBK" w:cs="方正仿宋_GBK"/>
          <w:spacing w:val="-34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0"/>
          <w:szCs w:val="30"/>
        </w:rPr>
        <w:t>）项目支出：指在基本支出之外为完成特定行政任</w:t>
      </w:r>
      <w:r>
        <w:rPr>
          <w:rFonts w:hint="eastAsia" w:ascii="Times New Roman" w:hAnsi="Times New Roman" w:eastAsia="方正仿宋_GBK" w:cs="方正仿宋_GBK"/>
          <w:spacing w:val="13"/>
          <w:sz w:val="30"/>
          <w:szCs w:val="30"/>
        </w:rPr>
        <w:t>务和事业发展目标所发生的支出。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36" w:firstLineChars="200"/>
        <w:jc w:val="both"/>
        <w:textAlignment w:val="baseline"/>
        <w:outlineLvl w:val="9"/>
        <w:rPr>
          <w:rFonts w:hint="eastAsia" w:ascii="Times New Roman" w:hAnsi="Times New Roman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pacing w:val="9"/>
          <w:sz w:val="30"/>
          <w:szCs w:val="30"/>
        </w:rPr>
        <w:t>（</w:t>
      </w:r>
      <w:r>
        <w:rPr>
          <w:rFonts w:hint="eastAsia" w:ascii="Times New Roman" w:hAnsi="Times New Roman" w:eastAsia="方正仿宋_GBK" w:cs="方正仿宋_GBK"/>
          <w:spacing w:val="-23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9"/>
          <w:sz w:val="30"/>
          <w:szCs w:val="30"/>
        </w:rPr>
        <w:t>十五</w:t>
      </w:r>
      <w:r>
        <w:rPr>
          <w:rFonts w:hint="eastAsia" w:ascii="Times New Roman" w:hAnsi="Times New Roman" w:eastAsia="方正仿宋_GBK" w:cs="方正仿宋_GBK"/>
          <w:spacing w:val="-47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9"/>
          <w:sz w:val="30"/>
          <w:szCs w:val="30"/>
        </w:rPr>
        <w:t>）“</w:t>
      </w:r>
      <w:r>
        <w:rPr>
          <w:rFonts w:hint="eastAsia" w:ascii="Times New Roman" w:hAnsi="Times New Roman" w:eastAsia="方正仿宋_GBK" w:cs="方正仿宋_GBK"/>
          <w:spacing w:val="-14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9"/>
          <w:sz w:val="30"/>
          <w:szCs w:val="30"/>
        </w:rPr>
        <w:t>三公”经费：纳入中央财政预决</w:t>
      </w:r>
      <w:r>
        <w:rPr>
          <w:rFonts w:hint="eastAsia" w:ascii="Times New Roman" w:hAnsi="Times New Roman" w:eastAsia="方正仿宋_GBK" w:cs="方正仿宋_GBK"/>
          <w:spacing w:val="8"/>
          <w:sz w:val="30"/>
          <w:szCs w:val="30"/>
        </w:rPr>
        <w:t>算管理的“ 三公”</w:t>
      </w:r>
      <w:r>
        <w:rPr>
          <w:rFonts w:hint="eastAsia" w:ascii="Times New Roman" w:hAnsi="Times New Roman" w:eastAsia="方正仿宋_GBK" w:cs="方正仿宋_GBK"/>
          <w:spacing w:val="14"/>
          <w:sz w:val="30"/>
          <w:szCs w:val="30"/>
        </w:rPr>
        <w:t>经费，是指中央部门用财政拨款安排的因公出国（境）费、公务</w:t>
      </w:r>
      <w:r>
        <w:rPr>
          <w:rFonts w:hint="eastAsia" w:ascii="Times New Roman" w:hAnsi="Times New Roman" w:eastAsia="方正仿宋_GBK" w:cs="方正仿宋_GBK"/>
          <w:spacing w:val="8"/>
          <w:sz w:val="30"/>
          <w:szCs w:val="30"/>
        </w:rPr>
        <w:t>用车购置及运行费和公务接待费</w:t>
      </w:r>
      <w:r>
        <w:rPr>
          <w:rFonts w:hint="eastAsia" w:ascii="Times New Roman" w:hAnsi="Times New Roman" w:eastAsia="方正仿宋_GBK" w:cs="方正仿宋_GBK"/>
          <w:spacing w:val="-65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0"/>
          <w:szCs w:val="30"/>
        </w:rPr>
        <w:t>。其中，因公出国（境）费反映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9"/>
          <w:sz w:val="30"/>
          <w:szCs w:val="30"/>
        </w:rPr>
        <w:t>单位公务出国（境）的国际旅费、国外城市间交通费、住宿费、</w:t>
      </w:r>
      <w:r>
        <w:rPr>
          <w:rFonts w:hint="eastAsia" w:ascii="Times New Roman" w:hAnsi="Times New Roman" w:eastAsia="方正仿宋_GBK" w:cs="方正仿宋_GBK"/>
          <w:spacing w:val="14"/>
          <w:sz w:val="30"/>
          <w:szCs w:val="30"/>
        </w:rPr>
        <w:t>伙食费、培训费、公杂费等支出；公务用车购置及运行费反映单</w:t>
      </w:r>
      <w:r>
        <w:rPr>
          <w:rFonts w:hint="eastAsia" w:ascii="Times New Roman" w:hAnsi="Times New Roman" w:eastAsia="方正仿宋_GBK" w:cs="方正仿宋_GBK"/>
          <w:spacing w:val="5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4"/>
          <w:sz w:val="30"/>
          <w:szCs w:val="30"/>
        </w:rPr>
        <w:t>位公务用车车辆购置支出（含车辆购置税）及租用费、燃料费</w:t>
      </w:r>
      <w:r>
        <w:rPr>
          <w:rFonts w:hint="eastAsia" w:ascii="Times New Roman" w:hAnsi="Times New Roman" w:eastAsia="方正仿宋_GBK" w:cs="方正仿宋_GBK"/>
          <w:spacing w:val="14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pacing w:val="5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9"/>
          <w:sz w:val="30"/>
          <w:szCs w:val="30"/>
        </w:rPr>
        <w:t>维修费</w:t>
      </w:r>
      <w:r>
        <w:rPr>
          <w:rFonts w:hint="eastAsia" w:ascii="Times New Roman" w:hAnsi="Times New Roman" w:eastAsia="方正仿宋_GBK" w:cs="方正仿宋_GBK"/>
          <w:spacing w:val="-63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9"/>
          <w:sz w:val="30"/>
          <w:szCs w:val="30"/>
        </w:rPr>
        <w:t>、过路过桥费</w:t>
      </w:r>
      <w:r>
        <w:rPr>
          <w:rFonts w:hint="eastAsia" w:ascii="Times New Roman" w:hAnsi="Times New Roman" w:eastAsia="方正仿宋_GBK" w:cs="方正仿宋_GBK"/>
          <w:spacing w:val="-74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9"/>
          <w:sz w:val="30"/>
          <w:szCs w:val="30"/>
        </w:rPr>
        <w:t>、保险费、安全奖励费用等支出；公务接待</w:t>
      </w:r>
      <w:r>
        <w:rPr>
          <w:rFonts w:hint="eastAsia" w:ascii="Times New Roman" w:hAnsi="Times New Roman" w:eastAsia="方正仿宋_GBK" w:cs="方正仿宋_GBK"/>
          <w:spacing w:val="16"/>
          <w:sz w:val="30"/>
          <w:szCs w:val="30"/>
        </w:rPr>
        <w:t>费反映单位按规定开支的各类公务接待（含外宾接待）支出。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4" w:firstLineChars="200"/>
        <w:jc w:val="both"/>
        <w:textAlignment w:val="baseline"/>
        <w:outlineLvl w:val="9"/>
        <w:rPr>
          <w:rFonts w:hint="eastAsia" w:ascii="方正仿宋_GBK" w:hAnsi="方正仿宋_GBK" w:eastAsia="方正仿宋_GBK" w:cs="方正仿宋_GBK"/>
          <w:lang w:val="en-US" w:eastAsia="zh-CN"/>
        </w:rPr>
        <w:sectPr>
          <w:footerReference r:id="rId27" w:type="default"/>
          <w:pgSz w:w="11907" w:h="16840"/>
          <w:pgMar w:top="400" w:right="1195" w:bottom="849" w:left="1585" w:header="0" w:footer="632" w:gutter="0"/>
          <w:pgNumType w:fmt="numberInDash"/>
          <w:cols w:space="720" w:num="1"/>
        </w:sectPr>
      </w:pPr>
      <w:r>
        <w:rPr>
          <w:rFonts w:hint="eastAsia" w:ascii="Times New Roman" w:hAnsi="Times New Roman" w:eastAsia="方正仿宋_GBK" w:cs="方正仿宋_GBK"/>
          <w:spacing w:val="11"/>
          <w:sz w:val="30"/>
          <w:szCs w:val="30"/>
        </w:rPr>
        <w:t>（</w:t>
      </w:r>
      <w:r>
        <w:rPr>
          <w:rFonts w:hint="eastAsia" w:ascii="Times New Roman" w:hAnsi="Times New Roman" w:eastAsia="方正仿宋_GBK" w:cs="方正仿宋_GBK"/>
          <w:spacing w:val="-23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1"/>
          <w:sz w:val="30"/>
          <w:szCs w:val="30"/>
        </w:rPr>
        <w:t>十六</w:t>
      </w:r>
      <w:r>
        <w:rPr>
          <w:rFonts w:hint="eastAsia" w:ascii="Times New Roman" w:hAnsi="Times New Roman" w:eastAsia="方正仿宋_GBK" w:cs="方正仿宋_GBK"/>
          <w:spacing w:val="-63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11"/>
          <w:sz w:val="30"/>
          <w:szCs w:val="30"/>
        </w:rPr>
        <w:t>）机关运行经费</w:t>
      </w:r>
      <w:r>
        <w:rPr>
          <w:rFonts w:hint="eastAsia" w:ascii="Times New Roman" w:hAnsi="Times New Roman" w:eastAsia="方正仿宋_GBK" w:cs="方正仿宋_GBK"/>
          <w:spacing w:val="11"/>
          <w:sz w:val="30"/>
          <w:szCs w:val="30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pacing w:val="11"/>
          <w:sz w:val="30"/>
          <w:szCs w:val="30"/>
        </w:rPr>
        <w:t>为保障行政单位（包括参</w:t>
      </w:r>
      <w:r>
        <w:rPr>
          <w:rFonts w:hint="eastAsia" w:ascii="Times New Roman" w:hAnsi="Times New Roman" w:eastAsia="方正仿宋_GBK" w:cs="方正仿宋_GBK"/>
          <w:spacing w:val="10"/>
          <w:sz w:val="30"/>
          <w:szCs w:val="30"/>
        </w:rPr>
        <w:t>照公务员</w:t>
      </w:r>
      <w:r>
        <w:rPr>
          <w:rFonts w:hint="eastAsia" w:ascii="Times New Roman" w:hAnsi="Times New Roman" w:eastAsia="方正仿宋_GBK" w:cs="方正仿宋_GBK"/>
          <w:spacing w:val="14"/>
          <w:sz w:val="30"/>
          <w:szCs w:val="30"/>
        </w:rPr>
        <w:t>法管理事业单位）运行用于购买货物和服务的各项资金，包括办</w:t>
      </w:r>
      <w:r>
        <w:rPr>
          <w:rFonts w:hint="eastAsia" w:ascii="Times New Roman" w:hAnsi="Times New Roman" w:eastAsia="方正仿宋_GBK" w:cs="方正仿宋_GBK"/>
          <w:spacing w:val="8"/>
          <w:sz w:val="30"/>
          <w:szCs w:val="30"/>
        </w:rPr>
        <w:t>公及印刷费</w:t>
      </w:r>
      <w:r>
        <w:rPr>
          <w:rFonts w:hint="eastAsia" w:ascii="Times New Roman" w:hAnsi="Times New Roman" w:eastAsia="方正仿宋_GBK" w:cs="方正仿宋_GBK"/>
          <w:spacing w:val="-55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0"/>
          <w:szCs w:val="30"/>
        </w:rPr>
        <w:t>、邮电费、差旅费、会议费</w:t>
      </w:r>
      <w:r>
        <w:rPr>
          <w:rFonts w:hint="eastAsia" w:ascii="Times New Roman" w:hAnsi="Times New Roman" w:eastAsia="方正仿宋_GBK" w:cs="方正仿宋_GBK"/>
          <w:spacing w:val="-71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方正仿宋_GBK"/>
          <w:spacing w:val="8"/>
          <w:sz w:val="30"/>
          <w:szCs w:val="30"/>
        </w:rPr>
        <w:t>、福利费</w:t>
      </w:r>
      <w:r>
        <w:rPr>
          <w:rFonts w:hint="eastAsia" w:ascii="Times New Roman" w:hAnsi="Times New Roman" w:eastAsia="方正仿宋_GBK" w:cs="方正仿宋_GBK"/>
          <w:spacing w:val="7"/>
          <w:sz w:val="30"/>
          <w:szCs w:val="30"/>
        </w:rPr>
        <w:t>、日常维修费、</w:t>
      </w:r>
      <w:r>
        <w:rPr>
          <w:rFonts w:hint="eastAsia" w:ascii="Times New Roman" w:hAnsi="Times New Roman" w:eastAsia="方正仿宋_GBK" w:cs="方正仿宋_GBK"/>
          <w:spacing w:val="6"/>
          <w:sz w:val="30"/>
          <w:szCs w:val="30"/>
        </w:rPr>
        <w:t>专用材料及一般设备购置费、办公用房水电费、办公用房取暖费、</w:t>
      </w:r>
      <w:r>
        <w:rPr>
          <w:rFonts w:hint="eastAsia" w:ascii="Times New Roman" w:hAnsi="Times New Roman" w:eastAsia="方正仿宋_GBK" w:cs="方正仿宋_GBK"/>
          <w:spacing w:val="16"/>
          <w:sz w:val="30"/>
          <w:szCs w:val="30"/>
        </w:rPr>
        <w:t>办公用房物业管理费、公务用车运行维护费以及其他费</w:t>
      </w:r>
      <w:r>
        <w:rPr>
          <w:rFonts w:hint="eastAsia" w:ascii="Times New Roman" w:hAnsi="Times New Roman" w:eastAsia="方正仿宋_GBK" w:cs="方正仿宋_GBK"/>
          <w:spacing w:val="16"/>
          <w:sz w:val="30"/>
          <w:szCs w:val="30"/>
          <w:lang w:val="en-US" w:eastAsia="zh-CN"/>
        </w:rPr>
        <w:t>用。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  <w:bookmarkStart w:id="47" w:name="bookmark30"/>
      <w:bookmarkEnd w:id="47"/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left="0" w:right="0"/>
        <w:textAlignment w:val="baseline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tbl>
      <w:tblPr>
        <w:tblStyle w:val="9"/>
        <w:tblW w:w="1188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 w:color="auto" w:fill="9FD56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0"/>
        <w:gridCol w:w="769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9FD56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</w:trPr>
        <w:tc>
          <w:tcPr>
            <w:tcW w:w="41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9FD565"/>
            <w:vAlign w:val="top"/>
          </w:tcPr>
          <w:p>
            <w:pPr>
              <w:spacing w:before="291" w:line="183" w:lineRule="auto"/>
              <w:ind w:left="1159"/>
              <w:rPr>
                <w:rFonts w:hint="eastAsia" w:ascii="方正小标宋_GBK" w:hAnsi="方正小标宋_GBK" w:eastAsia="方正小标宋_GBK" w:cs="方正小标宋_GBK"/>
                <w:sz w:val="52"/>
                <w:szCs w:val="52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2"/>
                <w:sz w:val="52"/>
                <w:szCs w:val="52"/>
              </w:rPr>
              <w:t>第五部分</w:t>
            </w:r>
          </w:p>
        </w:tc>
        <w:tc>
          <w:tcPr>
            <w:tcW w:w="769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9FD565"/>
            <w:vAlign w:val="top"/>
          </w:tcPr>
          <w:p>
            <w:pPr>
              <w:spacing w:line="289" w:lineRule="auto"/>
              <w:rPr>
                <w:rFonts w:hint="eastAsia" w:ascii="方正小标宋_GBK" w:hAnsi="方正小标宋_GBK" w:eastAsia="方正小标宋_GBK" w:cs="方正小标宋_GBK"/>
                <w:sz w:val="21"/>
              </w:rPr>
            </w:pPr>
          </w:p>
          <w:p>
            <w:pPr>
              <w:spacing w:line="289" w:lineRule="auto"/>
              <w:rPr>
                <w:rFonts w:hint="eastAsia" w:ascii="方正小标宋_GBK" w:hAnsi="方正小标宋_GBK" w:eastAsia="方正小标宋_GBK" w:cs="方正小标宋_GBK"/>
                <w:sz w:val="21"/>
              </w:rPr>
            </w:pPr>
          </w:p>
          <w:p>
            <w:pPr>
              <w:spacing w:line="289" w:lineRule="auto"/>
              <w:rPr>
                <w:rFonts w:hint="eastAsia" w:ascii="方正小标宋_GBK" w:hAnsi="方正小标宋_GBK" w:eastAsia="方正小标宋_GBK" w:cs="方正小标宋_GBK"/>
                <w:sz w:val="21"/>
              </w:rPr>
            </w:pPr>
          </w:p>
          <w:p>
            <w:pPr>
              <w:spacing w:line="289" w:lineRule="auto"/>
              <w:rPr>
                <w:rFonts w:hint="eastAsia" w:ascii="方正小标宋_GBK" w:hAnsi="方正小标宋_GBK" w:eastAsia="方正小标宋_GBK" w:cs="方正小标宋_GBK"/>
                <w:sz w:val="21"/>
              </w:rPr>
            </w:pPr>
          </w:p>
          <w:p>
            <w:pPr>
              <w:spacing w:before="301" w:line="183" w:lineRule="auto"/>
              <w:ind w:left="1030"/>
              <w:rPr>
                <w:rFonts w:hint="eastAsia" w:ascii="方正小标宋_GBK" w:hAnsi="方正小标宋_GBK" w:eastAsia="方正小标宋_GBK" w:cs="方正小标宋_GBK"/>
                <w:sz w:val="70"/>
                <w:szCs w:val="70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14"/>
                <w:sz w:val="70"/>
                <w:szCs w:val="70"/>
              </w:rPr>
              <w:t>附件</w:t>
            </w:r>
            <w:bookmarkStart w:id="48" w:name="_GoBack"/>
            <w:bookmarkEnd w:id="48"/>
          </w:p>
        </w:tc>
      </w:tr>
    </w:tbl>
    <w:p>
      <w:pPr>
        <w:sectPr>
          <w:footerReference r:id="rId28" w:type="default"/>
          <w:pgSz w:w="11907" w:h="16840"/>
          <w:pgMar w:top="400" w:right="0" w:bottom="854" w:left="20" w:header="0" w:footer="637" w:gutter="0"/>
          <w:pgNumType w:fmt="numberInDash"/>
          <w:cols w:space="720" w:num="1"/>
        </w:sectPr>
      </w:pPr>
    </w:p>
    <w:p>
      <w:pPr>
        <w:pStyle w:val="4"/>
        <w:spacing w:line="280" w:lineRule="auto"/>
      </w:pPr>
    </w:p>
    <w:p>
      <w:pPr>
        <w:spacing w:before="172" w:line="253" w:lineRule="auto"/>
        <w:ind w:left="2887" w:right="1946" w:hanging="1845"/>
        <w:rPr>
          <w:rFonts w:hint="eastAsia" w:ascii="微软雅黑" w:hAnsi="微软雅黑" w:eastAsia="微软雅黑" w:cs="微软雅黑"/>
          <w:spacing w:val="-5"/>
          <w:sz w:val="40"/>
          <w:szCs w:val="40"/>
          <w:lang w:eastAsia="zh-CN"/>
        </w:rPr>
      </w:pPr>
    </w:p>
    <w:p>
      <w:pPr>
        <w:spacing w:before="172" w:line="253" w:lineRule="auto"/>
        <w:ind w:left="2887" w:right="1946" w:hanging="1845"/>
        <w:rPr>
          <w:rFonts w:ascii="黑体" w:hAnsi="黑体" w:eastAsia="黑体" w:cs="黑体"/>
          <w:sz w:val="30"/>
          <w:szCs w:val="30"/>
        </w:rPr>
      </w:pPr>
      <w:r>
        <w:rPr>
          <w:rFonts w:hint="eastAsia" w:ascii="微软雅黑" w:hAnsi="微软雅黑" w:eastAsia="微软雅黑" w:cs="微软雅黑"/>
          <w:spacing w:val="-5"/>
          <w:sz w:val="40"/>
          <w:szCs w:val="40"/>
          <w:lang w:eastAsia="zh-CN"/>
        </w:rPr>
        <w:t>镇原县消防救援大队</w:t>
      </w:r>
      <w:r>
        <w:rPr>
          <w:rFonts w:ascii="微软雅黑" w:hAnsi="微软雅黑" w:eastAsia="微软雅黑" w:cs="微软雅黑"/>
          <w:spacing w:val="-5"/>
          <w:sz w:val="40"/>
          <w:szCs w:val="4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40"/>
          <w:szCs w:val="40"/>
        </w:rPr>
        <w:t xml:space="preserve">2024 </w:t>
      </w:r>
      <w:r>
        <w:rPr>
          <w:rFonts w:ascii="微软雅黑" w:hAnsi="微软雅黑" w:eastAsia="微软雅黑" w:cs="微软雅黑"/>
          <w:spacing w:val="-5"/>
          <w:sz w:val="40"/>
          <w:szCs w:val="40"/>
        </w:rPr>
        <w:t>年部门预算</w:t>
      </w:r>
      <w:r>
        <w:rPr>
          <w:position w:val="-1"/>
          <w:sz w:val="40"/>
          <w:szCs w:val="40"/>
        </w:rPr>
        <w:drawing>
          <wp:inline distT="0" distB="0" distL="0" distR="0">
            <wp:extent cx="245110" cy="19748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4524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92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-6"/>
          <w:sz w:val="40"/>
          <w:szCs w:val="40"/>
        </w:rPr>
        <w:t>附件</w:t>
      </w:r>
      <w:r>
        <w:rPr>
          <w:rFonts w:ascii="微软雅黑" w:hAnsi="微软雅黑" w:eastAsia="微软雅黑" w:cs="微软雅黑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17"/>
          <w:sz w:val="30"/>
          <w:szCs w:val="30"/>
        </w:rPr>
        <w:t>服装护具及伙食补助项目绩效目标表</w:t>
      </w:r>
    </w:p>
    <w:p>
      <w:pPr>
        <w:spacing w:before="67" w:line="212" w:lineRule="auto"/>
        <w:ind w:left="486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2024</w:t>
      </w:r>
      <w:r>
        <w:rPr>
          <w:rFonts w:ascii="宋体" w:hAnsi="宋体" w:eastAsia="宋体" w:cs="宋体"/>
          <w:spacing w:val="-8"/>
          <w:sz w:val="24"/>
          <w:szCs w:val="24"/>
        </w:rPr>
        <w:t>年度）</w:t>
      </w:r>
    </w:p>
    <w:p/>
    <w:tbl>
      <w:tblPr>
        <w:tblStyle w:val="7"/>
        <w:tblW w:w="102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30"/>
        <w:gridCol w:w="2177"/>
        <w:gridCol w:w="1201"/>
        <w:gridCol w:w="1559"/>
        <w:gridCol w:w="1887"/>
        <w:gridCol w:w="1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项目名称</w:t>
            </w:r>
          </w:p>
        </w:tc>
        <w:tc>
          <w:tcPr>
            <w:tcW w:w="8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伙食补助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主管部门及代码</w:t>
            </w:r>
          </w:p>
        </w:tc>
        <w:tc>
          <w:tcPr>
            <w:tcW w:w="3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[225029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027009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镇原县消防救援大队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实施单位</w:t>
            </w: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镇原县消防救援大队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（万元）</w:t>
            </w:r>
          </w:p>
        </w:tc>
        <w:tc>
          <w:tcPr>
            <w:tcW w:w="3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 年度资金总额：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96.59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执行率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分值（10）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800" w:firstLineChars="4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其中：财政拨款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40.02</w:t>
            </w: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          上年结转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          其他资金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56.57</w:t>
            </w: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标</w:t>
            </w:r>
          </w:p>
        </w:tc>
        <w:tc>
          <w:tcPr>
            <w:tcW w:w="93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按照一类、二类区、普通和特勤消防站伙食供应保障要求及标准，保障消防救援人员值班执勤每日伙食需要及营养热量消耗，科学调剂伙食种类，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厉行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勤俭节约，加强伙食经费管理，进一步提升消防救援人员获得感、满足感。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一级指标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二级指标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三级指标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指标值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分值权重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（90）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产出指标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食品安全率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100%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7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预算执行率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≥9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7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质量指标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专款专用率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=100%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76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效益指标效益指标</w:t>
            </w:r>
          </w:p>
        </w:tc>
        <w:tc>
          <w:tcPr>
            <w:tcW w:w="2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社会效益指标</w:t>
            </w:r>
          </w:p>
        </w:tc>
        <w:tc>
          <w:tcPr>
            <w:tcW w:w="27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消防救援人员体力充沛、营养均衡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显著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7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满意度指标</w:t>
            </w: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服务对象满意度指标</w:t>
            </w:r>
          </w:p>
        </w:tc>
        <w:tc>
          <w:tcPr>
            <w:tcW w:w="27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消防救援人员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对伙食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满意度</w:t>
            </w:r>
          </w:p>
        </w:tc>
        <w:tc>
          <w:tcPr>
            <w:tcW w:w="1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≥9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%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6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tbl>
      <w:tblPr>
        <w:tblStyle w:val="7"/>
        <w:tblW w:w="1029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30"/>
        <w:gridCol w:w="2177"/>
        <w:gridCol w:w="1401"/>
        <w:gridCol w:w="1359"/>
        <w:gridCol w:w="1887"/>
        <w:gridCol w:w="1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30"/>
                <w:szCs w:val="30"/>
                <w:highlight w:val="none"/>
                <w:lang w:eastAsia="zh-CN" w:bidi="ar"/>
              </w:rPr>
              <w:t>装备购置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  <w:highlight w:val="none"/>
                <w:lang w:bidi="ar"/>
              </w:rPr>
              <w:t>项目绩效目标表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（202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项目名称</w:t>
            </w:r>
          </w:p>
        </w:tc>
        <w:tc>
          <w:tcPr>
            <w:tcW w:w="8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装备购置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主管部门及代码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[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225029027009]镇原县消防救援大队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实施单位</w:t>
            </w: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镇原县消防救援大队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项目资金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（万元）</w:t>
            </w: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 xml:space="preserve"> 年度资金总额：</w:t>
            </w: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458.6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执行率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分值（10）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856" w:firstLineChars="4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其中：财政拨款</w:t>
            </w: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 xml:space="preserve">       上年结转</w:t>
            </w: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 xml:space="preserve">         其他资金</w:t>
            </w: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458.6</w:t>
            </w:r>
          </w:p>
        </w:tc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标</w:t>
            </w:r>
          </w:p>
        </w:tc>
        <w:tc>
          <w:tcPr>
            <w:tcW w:w="93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zh-CN" w:bidi="ar-SA"/>
              </w:rPr>
              <w:t>依据《甘肃省消防救援队伍装备建设三年规划》及《庆阳市人民政府办公室关于印发庆阳市消防救援“十四五”发展规划》的文件，拟购应急车辆救援装备400件（套）。弥补当前大队高层扑救、灭火救援等救援力量的不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一级指标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二级指标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三级指标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指标值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分值权重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（90）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成本指标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经济成本指标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资金总额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≤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458.6万元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生态环境成本指标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采购车辆符合排放标准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≤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国VI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产出指标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数量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指标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购置应急救援设备类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≥400件（套）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质量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指标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设备验收合格率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=100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%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时效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指标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项目按时完成率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=100%</w:t>
            </w:r>
          </w:p>
        </w:tc>
        <w:tc>
          <w:tcPr>
            <w:tcW w:w="13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效益指标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经济效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益指标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全年保护人民生命财产安全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显著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社会效益指标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提升灾害处置能力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成效有效提升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满意度指标</w:t>
            </w: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服务对象满意度指标</w:t>
            </w:r>
          </w:p>
        </w:tc>
        <w:tc>
          <w:tcPr>
            <w:tcW w:w="276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政府部门对项目建设成果的满意度</w:t>
            </w:r>
          </w:p>
        </w:tc>
        <w:tc>
          <w:tcPr>
            <w:tcW w:w="18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≥9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%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6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pStyle w:val="4"/>
      </w:pPr>
    </w:p>
    <w:p>
      <w:pPr>
        <w:pStyle w:val="4"/>
      </w:pPr>
    </w:p>
    <w:sectPr>
      <w:footerReference r:id="rId29" w:type="default"/>
      <w:pgSz w:w="11907" w:h="16840"/>
      <w:pgMar w:top="400" w:right="410" w:bottom="849" w:left="581" w:header="0" w:footer="63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603"/>
        <w:tab w:val="clear" w:pos="4153"/>
      </w:tabs>
    </w:pPr>
    <w:r>
      <w:rPr>
        <w:rFonts w:hint="eastAsia" w:eastAsia="宋体"/>
        <w:lang w:eastAsia="zh-CN"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uto"/>
      <w:rPr>
        <w:rFonts w:hint="default" w:eastAsia="宋体"/>
        <w:sz w:val="2"/>
        <w:lang w:val="en-US" w:eastAsia="zh-CN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FKJQzAgAAYwQAAA4AAABkcnMvZTJvRG9jLnhtbK1UzY7TMBC+I/EO&#10;lu80adFW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t/epO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WFKJ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2"/>
        <w:lang w:val="en-US" w:eastAsia="zh-CN"/>
      </w:rPr>
      <w:t>999910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566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5" name="文本框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sT65Q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sT65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576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6" name="文本框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ztIn8zAgAAYwQAAA4AAABkcnMvZTJvRG9jLnhtbK1UzY7TMBC+I/EO&#10;lu80aRGl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bdTSjRTqPjlx/fL&#10;z4fLr28EZxCotn6OuJ1FZGjemQZtM5x7HEbeTeFU/IIRgR/ynq/yiiYQHi/NJrNZCheHb9gAP3m8&#10;bp0P74VRJBoZdahfKys7bX3oQoeQmE2bTSVlW0OpSZ3R6es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ztIn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6512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5FtZAzAgAAYw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fU6KZQsVP37+d&#10;fvw6/fxKcAaBWutniHuwiAzdW9OhbYZzj8PIu6ucil8wIvBD3uNFXtEFwuOl6WQ6zeHi8A0b4GeP&#10;163z4Z0wikSjoA71S7Kyw8aHPnQIidm0WTdSphpKTdqCXr1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5FtZ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5749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dNuWI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C3qbphGxU8/vp9+&#10;Ppx+fSM4g0CNCzPE3TtExvadbdE2w3nAYeLdVl6nLxgR+CHv8SKvaCPh6dJ0Mp3mcHH4hg3ws8fr&#10;zof4XlhNklFQj/p1srLDJsQ+dAhJ2YxdS6W6GipDmoJevX6T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dNuW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84" w:lineRule="auto"/>
      <w:ind w:left="4195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9" name="文本框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lLo0zAgAAYwQAAA4AAABkcnMvZTJvRG9jLnhtbK1UzY7TMBC+I/EO&#10;lu80aRFL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+hxDCNip++fzv9&#10;+HX6+ZXgDAI1LswQt3GIjO1b26JthvOAw8S7rbxOXzAi8EPe40Ve0UbC06XpZDrN4eLwDRvgZw/X&#10;nQ/xnbCaJKOgHvXrZGWH2xD70CEkZTN2LZXqaqgMaQp69fJV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XlLo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84" w:lineRule="auto"/>
      <w:ind w:left="4208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0" name="文本框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yWR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iC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7JZF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5749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1" name="文本框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azvg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2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RrO+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84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5749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3" name="文本框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MkPw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7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MkP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84" w:lineRule="auto"/>
      <w:rPr>
        <w:rFonts w:hint="default" w:eastAsia="宋体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aguM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Oagu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5188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4" name="文本框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f5R8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q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Ef5R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rPr>
        <w:rFonts w:hint="default" w:ascii="Times New Roman" w:hAnsi="Times New Roman" w:eastAsia="宋体"/>
        <w:sz w:val="23"/>
        <w:szCs w:val="23"/>
        <w:lang w:val="en-US" w:eastAsia="zh-CN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SjhE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3qbphGxU8/vp9+&#10;Ppx+fSM4g0CNCzPE3TtExvadbdE2w3nAYeLdVl6nLxgR+CHv8SKvaCPh6dJ0Mp3mcHH4hg3ws8fr&#10;zof4XlhNklFQj/p1srLDJsQ+dAhJ2YxdS6W6GipDmoJevX6b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qSjh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rPr>
        <w:rFonts w:hint="default" w:ascii="Times New Roman" w:hAnsi="Times New Roman" w:eastAsia="宋体" w:cs="Times New Roman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g6Gf4zAgAAYwQAAA4AAABkcnMvZTJvRG9jLnhtbK1UzY7TMBC+I/EO&#10;lu80aYFV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g6Gf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eastAsia" w:ascii="Times New Roman" w:hAnsi="Times New Roman" w:eastAsia="宋体" w:cs="Times New Roman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Dp+ypg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rPr>
        <w:rFonts w:hint="eastAsia" w:ascii="Times New Roman" w:hAnsi="Times New Roman" w:eastAsia="宋体" w:cs="Times New Roman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jWXXczAgAAYwQAAA4AAABkcnMvZTJvRG9jLnhtbK1UzY7TMBC+I/EO&#10;lu80bdGu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v32apwuXDwAlxo5Iomu2GiFdtf2zHam&#10;OIGYM91seMs3NZJvmQ/3zGEYUDCeS7jDUkqDJKa3KKmM+/qv8xiPHsFLSYPhyqnGW6JEftDoHQDD&#10;YLjB2A2GPqhbg2lFO1BLMnHBBTmYpTPqC97QKuaAi2mOTDkNg3kbugHHG+RitUpBB+vqfdVdwORZ&#10;Frb6wfKYJgrp7eoQIGbSOArUqdLrhtlLXerfSRzuP/cp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jWXX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hint="eastAsia" w:ascii="Times New Roman" w:hAnsi="Times New Roman" w:eastAsia="宋体" w:cs="Times New Roman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olJw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8olJ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rPr>
        <w:rFonts w:hint="eastAsia" w:ascii="Times New Roman" w:hAnsi="Times New Roman" w:eastAsia="宋体" w:cs="Times New Roman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2AA3M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9d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2AA3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uto"/>
      <w:rPr>
        <w:rFonts w:hint="default" w:eastAsia="宋体"/>
        <w:sz w:val="2"/>
        <w:lang w:val="en-US" w:eastAsia="zh-CN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J74X8zAgAAYw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ryd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J74X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227330</wp:posOffset>
              </wp:positionH>
              <wp:positionV relativeFrom="paragraph">
                <wp:posOffset>38100</wp:posOffset>
              </wp:positionV>
              <wp:extent cx="346710" cy="160655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" cy="160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9pt;margin-top:3pt;height:12.65pt;width:27.3pt;mso-position-horizontal-relative:margin;z-index:251659264;mso-width-relative:page;mso-height-relative:page;" filled="f" stroked="f" coordsize="21600,21600" o:gfxdata="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SioKzVAAAABgEAAA8AAAAAAAAAAQAgAAAAIgAAAGRycy9kb3ducmV2&#10;LnhtbFBLAQIUABQAAAAIAIdO4kB0ylE2OAIAAGM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2"/>
        <w:lang w:val="en-US" w:eastAsia="zh-CN"/>
      </w:rPr>
      <w:t>9999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AEDF93"/>
    <w:multiLevelType w:val="singleLevel"/>
    <w:tmpl w:val="9AAEDF93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gxMjU3OTI5MTIzYTg3ZGUzZTc4MDJjMmViMWU5NjEifQ=="/>
  </w:docVars>
  <w:rsids>
    <w:rsidRoot w:val="00000000"/>
    <w:rsid w:val="00A41E1A"/>
    <w:rsid w:val="04DF7CDC"/>
    <w:rsid w:val="05351977"/>
    <w:rsid w:val="0613096A"/>
    <w:rsid w:val="0B5224A3"/>
    <w:rsid w:val="0D8B55C6"/>
    <w:rsid w:val="0E56757D"/>
    <w:rsid w:val="0E802C03"/>
    <w:rsid w:val="0E89294C"/>
    <w:rsid w:val="0EA74A99"/>
    <w:rsid w:val="130D2DA4"/>
    <w:rsid w:val="13692382"/>
    <w:rsid w:val="16AB3EC2"/>
    <w:rsid w:val="177E15D9"/>
    <w:rsid w:val="17945D7E"/>
    <w:rsid w:val="19676BCF"/>
    <w:rsid w:val="1A1F12AD"/>
    <w:rsid w:val="1A2B136A"/>
    <w:rsid w:val="1B5D643C"/>
    <w:rsid w:val="1BA809D0"/>
    <w:rsid w:val="1CC47F67"/>
    <w:rsid w:val="1DC67F7F"/>
    <w:rsid w:val="1E64416A"/>
    <w:rsid w:val="20B15C43"/>
    <w:rsid w:val="20ED5D93"/>
    <w:rsid w:val="21823A71"/>
    <w:rsid w:val="233174FD"/>
    <w:rsid w:val="2408045E"/>
    <w:rsid w:val="25F93D5A"/>
    <w:rsid w:val="295C2A3B"/>
    <w:rsid w:val="2DAB403E"/>
    <w:rsid w:val="2DFD44B7"/>
    <w:rsid w:val="2EDC1917"/>
    <w:rsid w:val="2F4F67B0"/>
    <w:rsid w:val="310D080B"/>
    <w:rsid w:val="311205E3"/>
    <w:rsid w:val="313A1C72"/>
    <w:rsid w:val="33164C7B"/>
    <w:rsid w:val="339E03C8"/>
    <w:rsid w:val="33BA5704"/>
    <w:rsid w:val="3586546E"/>
    <w:rsid w:val="35EF74CF"/>
    <w:rsid w:val="36374201"/>
    <w:rsid w:val="38420B54"/>
    <w:rsid w:val="3A9D4BB7"/>
    <w:rsid w:val="3AB605BC"/>
    <w:rsid w:val="3B343BD6"/>
    <w:rsid w:val="3D8C0B6C"/>
    <w:rsid w:val="3E8B3C04"/>
    <w:rsid w:val="40EC510F"/>
    <w:rsid w:val="41C66BE9"/>
    <w:rsid w:val="42E87780"/>
    <w:rsid w:val="43ED4D96"/>
    <w:rsid w:val="46144188"/>
    <w:rsid w:val="465F4B10"/>
    <w:rsid w:val="46E7597A"/>
    <w:rsid w:val="4A6B1591"/>
    <w:rsid w:val="4C0A69B9"/>
    <w:rsid w:val="4DA91FD9"/>
    <w:rsid w:val="4E2D2A96"/>
    <w:rsid w:val="4E323FA5"/>
    <w:rsid w:val="4F376970"/>
    <w:rsid w:val="5095081C"/>
    <w:rsid w:val="51BB11A6"/>
    <w:rsid w:val="521E0D58"/>
    <w:rsid w:val="52313F4D"/>
    <w:rsid w:val="55F5090E"/>
    <w:rsid w:val="5919023C"/>
    <w:rsid w:val="59497308"/>
    <w:rsid w:val="598A2EE8"/>
    <w:rsid w:val="5AF732A0"/>
    <w:rsid w:val="5C506096"/>
    <w:rsid w:val="5C64301A"/>
    <w:rsid w:val="5EA762EA"/>
    <w:rsid w:val="608E6F72"/>
    <w:rsid w:val="60D54146"/>
    <w:rsid w:val="61273FB2"/>
    <w:rsid w:val="613635E4"/>
    <w:rsid w:val="62BC63C6"/>
    <w:rsid w:val="63D233C8"/>
    <w:rsid w:val="64C54262"/>
    <w:rsid w:val="64F6524C"/>
    <w:rsid w:val="662D5327"/>
    <w:rsid w:val="6A457569"/>
    <w:rsid w:val="6C057DF6"/>
    <w:rsid w:val="6C400C53"/>
    <w:rsid w:val="6C7C6168"/>
    <w:rsid w:val="6ED32A2A"/>
    <w:rsid w:val="71BE777B"/>
    <w:rsid w:val="73A67103"/>
    <w:rsid w:val="7410041A"/>
    <w:rsid w:val="74C57D8A"/>
    <w:rsid w:val="74E36585"/>
    <w:rsid w:val="78093B6A"/>
    <w:rsid w:val="78435370"/>
    <w:rsid w:val="79112886"/>
    <w:rsid w:val="79AB6836"/>
    <w:rsid w:val="7B135CFC"/>
    <w:rsid w:val="7B8306BF"/>
    <w:rsid w:val="7BED2CC8"/>
    <w:rsid w:val="7C3F0530"/>
    <w:rsid w:val="7FBB41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spacing w:line="440" w:lineRule="exact"/>
      <w:ind w:firstLine="480" w:firstLineChars="20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方正仿宋_GBK" w:hAnsi="方正仿宋_GBK" w:eastAsia="方正仿宋_GBK" w:cs="方正仿宋_GBK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image" Target="media/image13.png"/><Relationship Id="rId42" Type="http://schemas.openxmlformats.org/officeDocument/2006/relationships/image" Target="media/image12.png"/><Relationship Id="rId41" Type="http://schemas.openxmlformats.org/officeDocument/2006/relationships/image" Target="media/image11.png"/><Relationship Id="rId40" Type="http://schemas.openxmlformats.org/officeDocument/2006/relationships/image" Target="media/image10.png"/><Relationship Id="rId4" Type="http://schemas.openxmlformats.org/officeDocument/2006/relationships/endnotes" Target="endnotes.xml"/><Relationship Id="rId39" Type="http://schemas.openxmlformats.org/officeDocument/2006/relationships/image" Target="media/image9.png"/><Relationship Id="rId38" Type="http://schemas.openxmlformats.org/officeDocument/2006/relationships/image" Target="media/image8.png"/><Relationship Id="rId37" Type="http://schemas.openxmlformats.org/officeDocument/2006/relationships/image" Target="media/image7.png"/><Relationship Id="rId36" Type="http://schemas.openxmlformats.org/officeDocument/2006/relationships/image" Target="media/image6.png"/><Relationship Id="rId35" Type="http://schemas.openxmlformats.org/officeDocument/2006/relationships/image" Target="media/image5.png"/><Relationship Id="rId34" Type="http://schemas.openxmlformats.org/officeDocument/2006/relationships/image" Target="media/image4.png"/><Relationship Id="rId33" Type="http://schemas.openxmlformats.org/officeDocument/2006/relationships/image" Target="media/image3.png"/><Relationship Id="rId32" Type="http://schemas.openxmlformats.org/officeDocument/2006/relationships/image" Target="media/image2.png"/><Relationship Id="rId31" Type="http://schemas.openxmlformats.org/officeDocument/2006/relationships/image" Target="media/image1.png"/><Relationship Id="rId30" Type="http://schemas.openxmlformats.org/officeDocument/2006/relationships/theme" Target="theme/theme1.xml"/><Relationship Id="rId3" Type="http://schemas.openxmlformats.org/officeDocument/2006/relationships/footnotes" Target="footnotes.xml"/><Relationship Id="rId29" Type="http://schemas.openxmlformats.org/officeDocument/2006/relationships/footer" Target="footer20.xml"/><Relationship Id="rId28" Type="http://schemas.openxmlformats.org/officeDocument/2006/relationships/footer" Target="footer19.xml"/><Relationship Id="rId27" Type="http://schemas.openxmlformats.org/officeDocument/2006/relationships/footer" Target="footer18.xml"/><Relationship Id="rId26" Type="http://schemas.openxmlformats.org/officeDocument/2006/relationships/footer" Target="footer17.xml"/><Relationship Id="rId25" Type="http://schemas.openxmlformats.org/officeDocument/2006/relationships/footer" Target="footer16.xml"/><Relationship Id="rId24" Type="http://schemas.openxmlformats.org/officeDocument/2006/relationships/header" Target="header5.xml"/><Relationship Id="rId23" Type="http://schemas.openxmlformats.org/officeDocument/2006/relationships/footer" Target="footer15.xml"/><Relationship Id="rId22" Type="http://schemas.openxmlformats.org/officeDocument/2006/relationships/footer" Target="footer14.xml"/><Relationship Id="rId21" Type="http://schemas.openxmlformats.org/officeDocument/2006/relationships/footer" Target="footer13.xml"/><Relationship Id="rId20" Type="http://schemas.openxmlformats.org/officeDocument/2006/relationships/footer" Target="footer12.xml"/><Relationship Id="rId2" Type="http://schemas.openxmlformats.org/officeDocument/2006/relationships/settings" Target="settings.xml"/><Relationship Id="rId19" Type="http://schemas.openxmlformats.org/officeDocument/2006/relationships/header" Target="header4.xml"/><Relationship Id="rId18" Type="http://schemas.openxmlformats.org/officeDocument/2006/relationships/footer" Target="footer11.xml"/><Relationship Id="rId17" Type="http://schemas.openxmlformats.org/officeDocument/2006/relationships/header" Target="header3.xml"/><Relationship Id="rId16" Type="http://schemas.openxmlformats.org/officeDocument/2006/relationships/footer" Target="footer10.xml"/><Relationship Id="rId15" Type="http://schemas.openxmlformats.org/officeDocument/2006/relationships/header" Target="header2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6398</Words>
  <Characters>7439</Characters>
  <TotalTime>12</TotalTime>
  <ScaleCrop>false</ScaleCrop>
  <LinksUpToDate>false</LinksUpToDate>
  <CharactersWithSpaces>7879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2024-04-25T14:36:00Z</dcterms:created>
  <dc:creator>admin</dc:creator>
  <cp:lastModifiedBy>Administrator</cp:lastModifiedBy>
  <dcterms:modified xsi:type="dcterms:W3CDTF">2024-05-17T13:11:03Z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2024-05-06T10:34:41Z</vt:filetime>
  </property>
  <property fmtid="{D5CDD505-2E9C-101B-9397-08002B2CF9AE}" pid="4" name="KSOProductBuildVer">
    <vt:lpwstr>2052-12.1.0.16729</vt:lpwstr>
  </property>
  <property fmtid="{D5CDD505-2E9C-101B-9397-08002B2CF9AE}" pid="5" name="ICV">
    <vt:lpwstr>640A18D8145C4E248E0E1E079353334D_13</vt:lpwstr>
  </property>
</Properties>
</file>