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1" w:name="_GoBack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职业技能等级评价职业（工种）备案目录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10"/>
          <w:szCs w:val="1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815"/>
        <w:gridCol w:w="3118"/>
        <w:gridCol w:w="2694"/>
        <w:gridCol w:w="26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bookmarkStart w:id="0" w:name="RANGE!A1:G144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  <w:bookmarkEnd w:id="0"/>
          </w:p>
        </w:tc>
        <w:tc>
          <w:tcPr>
            <w:tcW w:w="2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职业编码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职业名称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工种名称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评定等级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评定依据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815" w:type="dxa"/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18" w:type="dxa"/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4" w:type="dxa"/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815" w:type="dxa"/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18" w:type="dxa"/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4" w:type="dxa"/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Nzc3MDgyZGQwNzliYTQ1NTk0M2VjNDM5OTNkOTEifQ=="/>
  </w:docVars>
  <w:rsids>
    <w:rsidRoot w:val="7C8F13A2"/>
    <w:rsid w:val="7C8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2024-05-22T01:47:00Z</dcterms:created>
  <dc:creator>猫样神经</dc:creator>
  <cp:lastModifiedBy>猫样神经</cp:lastModifiedBy>
  <dcterms:modified xsi:type="dcterms:W3CDTF">2024-05-22T01:47:34Z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F61606B5B5E44234BE068109E4870537_11</vt:lpwstr>
  </property>
</Properties>
</file>