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477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contextualSpacing/>
        <w:jc w:val="left"/>
        <w:textAlignment w:val="auto"/>
        <w:outlineLvl w:val="1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60B17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contextualSpacing/>
        <w:jc w:val="left"/>
        <w:textAlignment w:val="auto"/>
        <w:outlineLvl w:val="1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16FD69D">
      <w:pPr>
        <w:widowControl/>
        <w:spacing w:before="300" w:after="150" w:line="540" w:lineRule="exact"/>
        <w:contextualSpacing/>
        <w:jc w:val="center"/>
        <w:outlineLvl w:val="1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年度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庆阳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市工伤预防项目申报指南</w:t>
      </w:r>
    </w:p>
    <w:p w14:paraId="7C82EE08">
      <w:pPr>
        <w:widowControl/>
        <w:spacing w:line="540" w:lineRule="exact"/>
        <w:contextualSpacing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EEDDA8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contextualSpacing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工伤预防项目申报主体</w:t>
      </w:r>
    </w:p>
    <w:p w14:paraId="5EEBAF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参加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庆阳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市工伤保险的行业协会和大中型企业等社会组织。企业规模划分根据工业和信息化部、国家统计局、国家发展和改革委员会、财政部《关于印发中小企业划型标准规定的通知》（工信部联企业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〔2011〕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300号）规定执行。</w:t>
      </w:r>
    </w:p>
    <w:p w14:paraId="5F65C10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contextualSpacing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工伤预防项目申报要求</w:t>
      </w:r>
    </w:p>
    <w:p w14:paraId="4B88E2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（一）市、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各行业协会和大中型企业等社会组织应根据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已经公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布的本市工伤预防重点领域，结合本行业、本单位工伤预防工作的需要申报202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年度工伤预防项目。</w:t>
      </w:r>
    </w:p>
    <w:p w14:paraId="62E7C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工伤预防项目限于工伤事故和职业病预防宣传和培训，实施周期原则上为1年，最长不超过2年。</w:t>
      </w:r>
    </w:p>
    <w:p w14:paraId="1DF68B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（二）申报工伤预防项目的单位应按照“审慎稳妥、突出重点，科学规范、注重实效”的原则编制项目实施方案，提供项目费用测算依据和设定具体绩效目标。</w:t>
      </w:r>
    </w:p>
    <w:p w14:paraId="7249E8D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contextualSpacing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申报材料</w:t>
      </w:r>
    </w:p>
    <w:p w14:paraId="4E5F7B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（一）《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甘肃省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工伤预防项目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表》；</w:t>
      </w:r>
    </w:p>
    <w:p w14:paraId="446B1C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（二）项目可行性研究报告；</w:t>
      </w:r>
    </w:p>
    <w:p w14:paraId="15E154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）工伤预防项目实施方案；</w:t>
      </w:r>
    </w:p>
    <w:p w14:paraId="1B72B7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）工伤预防项目费用测算说明；</w:t>
      </w:r>
    </w:p>
    <w:p w14:paraId="08B4CA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法人机构的申报单位资质证明文件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6D7E15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contextualSpacing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申报时间</w:t>
      </w:r>
    </w:p>
    <w:p w14:paraId="46483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年度工伤预防项目的申报单位应于20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日前向市人力资源社会保障局递交书面申报材料。</w:t>
      </w:r>
    </w:p>
    <w:p w14:paraId="3C4309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材料报送部门：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庆阳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市人力资源社会保障局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社会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保险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</w:t>
      </w:r>
    </w:p>
    <w:p w14:paraId="3B9645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地址：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庆阳市西峰区长庆大道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164号（市政府3号集中办公区）</w:t>
      </w:r>
    </w:p>
    <w:p w14:paraId="2665C4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邮政编码：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745000</w:t>
      </w:r>
    </w:p>
    <w:p w14:paraId="3B7DC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杨欢丽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李昊儒</w:t>
      </w:r>
    </w:p>
    <w:p w14:paraId="333840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0934-8615515</w:t>
      </w:r>
    </w:p>
    <w:p w14:paraId="4E5D8963">
      <w:pPr>
        <w:widowControl/>
        <w:spacing w:line="560" w:lineRule="exact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B6F68E">
      <w:pPr>
        <w:widowControl/>
        <w:spacing w:line="560" w:lineRule="exact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35BB46">
      <w:pPr>
        <w:widowControl/>
        <w:spacing w:line="560" w:lineRule="exact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BEB458">
      <w:pPr>
        <w:widowControl/>
        <w:jc w:val="left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014007">
      <w:pPr>
        <w:widowControl/>
        <w:jc w:val="left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EA7788">
      <w:pPr>
        <w:widowControl/>
        <w:jc w:val="left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42D63A3">
      <w:pPr>
        <w:widowControl/>
        <w:jc w:val="left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AC44028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8C"/>
    <w:rsid w:val="0098199C"/>
    <w:rsid w:val="00B76D8C"/>
    <w:rsid w:val="13A30D43"/>
    <w:rsid w:val="32920961"/>
    <w:rsid w:val="3DF22325"/>
    <w:rsid w:val="409E4B42"/>
    <w:rsid w:val="448A38A5"/>
    <w:rsid w:val="4BC2525F"/>
    <w:rsid w:val="593051CE"/>
    <w:rsid w:val="5EC80D4F"/>
    <w:rsid w:val="61DB091C"/>
    <w:rsid w:val="67A7139C"/>
    <w:rsid w:val="70841E33"/>
    <w:rsid w:val="7115335C"/>
    <w:rsid w:val="79850708"/>
    <w:rsid w:val="7C80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sz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character" w:customStyle="1" w:styleId="6">
    <w:name w:val="纯文本 Char"/>
    <w:basedOn w:val="5"/>
    <w:link w:val="2"/>
    <w:semiHidden/>
    <w:qFormat/>
    <w:uiPriority w:val="0"/>
    <w:rPr>
      <w:rFonts w:ascii="宋体" w:hAnsi="宋体" w:eastAsia="宋体"/>
      <w:color w:val="00000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1334</Words>
  <Characters>1423</Characters>
  <Lines>12</Lines>
  <Paragraphs>3</Paragraphs>
  <TotalTime>5</TotalTime>
  <ScaleCrop>false</ScaleCrop>
  <LinksUpToDate>false</LinksUpToDate>
  <CharactersWithSpaces>1557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2020-10-10T09:00:00Z</dcterms:created>
  <dc:creator>wh</dc:creator>
  <cp:lastModifiedBy>册</cp:lastModifiedBy>
  <cp:lastPrinted>2026-07-08T03:28:00Z</cp:lastPrinted>
  <dcterms:modified xsi:type="dcterms:W3CDTF">2026-07-13T01:14:51Z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0604F34CA41F4D6F84696C10E26666E0_13</vt:lpwstr>
  </property>
  <property fmtid="{D5CDD505-2E9C-101B-9397-08002B2CF9AE}" pid="4" name="KSOTemplateDocerSaveRecord">
    <vt:lpwstr>eyJoZGlkIjoiNjE0NmFjZjRiODkwMDRkMzczOTlhZDIxYjBkYzgyOTkiLCJ1c2VySWQiOiI3Mzg3MTMxMTcifQ==</vt:lpwstr>
  </property>
</Properties>
</file>